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Theme="minorEastAsia" w:hAnsiTheme="minorEastAsia" w:eastAsiaTheme="minorEastAsia" w:cstheme="minorEastAsia"/>
          <w:color w:val="auto"/>
          <w:spacing w:val="80"/>
          <w:sz w:val="100"/>
          <w:highlight w:val="none"/>
          <w:lang w:eastAsia="zh-CN"/>
        </w:rPr>
      </w:pPr>
      <w:r>
        <w:rPr>
          <w:rFonts w:hint="eastAsia" w:asciiTheme="minorEastAsia" w:hAnsiTheme="minorEastAsia" w:eastAsiaTheme="minorEastAsia" w:cstheme="minorEastAsia"/>
          <w:color w:val="auto"/>
          <w:spacing w:val="80"/>
          <w:sz w:val="100"/>
          <w:highlight w:val="none"/>
          <w:lang w:eastAsia="zh-CN"/>
        </w:rPr>
        <w:t>询价文件</w:t>
      </w:r>
    </w:p>
    <w:p>
      <w:pPr>
        <w:spacing w:line="520" w:lineRule="exact"/>
        <w:rPr>
          <w:rFonts w:hint="eastAsia" w:asciiTheme="minorEastAsia" w:hAnsiTheme="minorEastAsia" w:eastAsiaTheme="minorEastAsia" w:cstheme="minorEastAsia"/>
          <w:color w:val="auto"/>
          <w:sz w:val="32"/>
          <w:highlight w:val="none"/>
        </w:rPr>
      </w:pPr>
    </w:p>
    <w:p>
      <w:pPr>
        <w:tabs>
          <w:tab w:val="left" w:pos="2761"/>
        </w:tabs>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700" w:lineRule="exact"/>
        <w:ind w:firstLine="1600" w:firstLineChars="500"/>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项目编号：FG2300011217B</w:t>
      </w:r>
    </w:p>
    <w:p>
      <w:pPr>
        <w:spacing w:line="700" w:lineRule="exact"/>
        <w:ind w:left="3196" w:leftChars="760" w:hanging="1600" w:hanging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rPr>
        <w:t>项目名称：</w:t>
      </w:r>
      <w:r>
        <w:rPr>
          <w:rFonts w:hint="eastAsia" w:asciiTheme="minorEastAsia" w:hAnsiTheme="minorEastAsia" w:eastAsiaTheme="minorEastAsia" w:cstheme="minorEastAsia"/>
          <w:color w:val="auto"/>
          <w:sz w:val="32"/>
          <w:highlight w:val="none"/>
          <w:lang w:eastAsia="zh-CN"/>
        </w:rPr>
        <w:t>重庆富源化工有限公司复合肥原料库房建设项目监理（第二次）</w:t>
      </w:r>
    </w:p>
    <w:p>
      <w:pPr>
        <w:spacing w:line="700" w:lineRule="exact"/>
        <w:ind w:firstLine="3200" w:firstLineChars="1000"/>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520" w:lineRule="exact"/>
        <w:rPr>
          <w:rFonts w:hint="eastAsia" w:asciiTheme="minorEastAsia" w:hAnsiTheme="minorEastAsia" w:eastAsiaTheme="minorEastAsia" w:cstheme="minorEastAsia"/>
          <w:color w:val="auto"/>
          <w:sz w:val="32"/>
          <w:highlight w:val="none"/>
        </w:rPr>
      </w:pPr>
    </w:p>
    <w:p>
      <w:pPr>
        <w:pStyle w:val="2"/>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sz w:val="32"/>
          <w:highlight w:val="none"/>
        </w:rPr>
      </w:pPr>
    </w:p>
    <w:p>
      <w:pPr>
        <w:rPr>
          <w:rFonts w:hint="eastAsia" w:asciiTheme="minorEastAsia" w:hAnsiTheme="minorEastAsia" w:eastAsiaTheme="minorEastAsia" w:cstheme="minorEastAsia"/>
          <w:color w:val="auto"/>
          <w:sz w:val="32"/>
          <w:highlight w:val="none"/>
        </w:rPr>
      </w:pPr>
    </w:p>
    <w:p>
      <w:pPr>
        <w:rPr>
          <w:rFonts w:hint="eastAsia"/>
          <w:color w:val="auto"/>
          <w:highlight w:val="none"/>
        </w:rPr>
      </w:pPr>
    </w:p>
    <w:p>
      <w:pPr>
        <w:spacing w:line="520" w:lineRule="exact"/>
        <w:rPr>
          <w:rFonts w:hint="eastAsia" w:asciiTheme="minorEastAsia" w:hAnsiTheme="minorEastAsia" w:eastAsiaTheme="minorEastAsia" w:cstheme="minorEastAsia"/>
          <w:color w:val="auto"/>
          <w:sz w:val="32"/>
          <w:highlight w:val="none"/>
        </w:rPr>
      </w:pPr>
    </w:p>
    <w:p>
      <w:pPr>
        <w:spacing w:line="700" w:lineRule="exact"/>
        <w:ind w:firstLine="1600" w:firstLine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rPr>
        <w:t>采 购 人：</w:t>
      </w:r>
      <w:r>
        <w:rPr>
          <w:rFonts w:hint="eastAsia" w:asciiTheme="minorEastAsia" w:hAnsiTheme="minorEastAsia" w:eastAsiaTheme="minorEastAsia" w:cstheme="minorEastAsia"/>
          <w:color w:val="auto"/>
          <w:sz w:val="32"/>
          <w:highlight w:val="none"/>
          <w:lang w:eastAsia="zh-CN"/>
        </w:rPr>
        <w:t>重庆富源化工有限公司</w:t>
      </w:r>
    </w:p>
    <w:p>
      <w:pPr>
        <w:spacing w:line="700" w:lineRule="exact"/>
        <w:ind w:firstLine="1600" w:firstLineChars="500"/>
        <w:rPr>
          <w:rFonts w:hint="eastAsia" w:asciiTheme="minorEastAsia" w:hAnsiTheme="minorEastAsia" w:eastAsiaTheme="minorEastAsia" w:cstheme="minorEastAsia"/>
          <w:color w:val="auto"/>
          <w:sz w:val="32"/>
          <w:highlight w:val="none"/>
          <w:lang w:eastAsia="zh-CN"/>
        </w:rPr>
      </w:pPr>
      <w:r>
        <w:rPr>
          <w:rFonts w:hint="eastAsia" w:asciiTheme="minorEastAsia" w:hAnsiTheme="minorEastAsia" w:eastAsiaTheme="minorEastAsia" w:cstheme="minorEastAsia"/>
          <w:color w:val="auto"/>
          <w:sz w:val="32"/>
          <w:highlight w:val="none"/>
          <w:lang w:eastAsia="zh-CN"/>
        </w:rPr>
        <w:t>代理机构：重庆国际投资咨询集团有限公司</w:t>
      </w:r>
    </w:p>
    <w:p>
      <w:pPr>
        <w:spacing w:line="700" w:lineRule="exact"/>
        <w:jc w:val="center"/>
        <w:outlineLvl w:val="0"/>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b/>
          <w:color w:val="auto"/>
          <w:sz w:val="32"/>
          <w:highlight w:val="none"/>
        </w:rPr>
        <w:t>202</w:t>
      </w:r>
      <w:r>
        <w:rPr>
          <w:rFonts w:hint="eastAsia" w:asciiTheme="minorEastAsia" w:hAnsiTheme="minorEastAsia" w:eastAsiaTheme="minorEastAsia" w:cstheme="minorEastAsia"/>
          <w:b/>
          <w:color w:val="auto"/>
          <w:sz w:val="32"/>
          <w:highlight w:val="none"/>
          <w:lang w:val="en-US" w:eastAsia="zh-CN"/>
        </w:rPr>
        <w:t>4</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lang w:val="en-US" w:eastAsia="zh-CN"/>
        </w:rPr>
        <w:t>1</w:t>
      </w:r>
      <w:r>
        <w:rPr>
          <w:rFonts w:hint="eastAsia" w:asciiTheme="minorEastAsia" w:hAnsiTheme="minorEastAsia" w:eastAsiaTheme="minorEastAsia" w:cstheme="minorEastAsia"/>
          <w:b/>
          <w:color w:val="auto"/>
          <w:sz w:val="32"/>
          <w:highlight w:val="none"/>
        </w:rPr>
        <w:t>月</w:t>
      </w:r>
    </w:p>
    <w:p>
      <w:pPr>
        <w:spacing w:line="520" w:lineRule="exact"/>
        <w:outlineLvl w:val="0"/>
        <w:rPr>
          <w:rFonts w:hint="eastAsia" w:asciiTheme="minorEastAsia" w:hAnsiTheme="minorEastAsia" w:eastAsiaTheme="minorEastAsia" w:cstheme="minorEastAsia"/>
          <w:color w:val="auto"/>
          <w:sz w:val="52"/>
          <w:highlight w:val="none"/>
        </w:rPr>
        <w:sectPr>
          <w:headerReference r:id="rId4" w:type="first"/>
          <w:footerReference r:id="rId7" w:type="first"/>
          <w:footerReference r:id="rId5" w:type="default"/>
          <w:headerReference r:id="rId3" w:type="even"/>
          <w:footerReference r:id="rId6" w:type="even"/>
          <w:pgSz w:w="11907" w:h="16840"/>
          <w:pgMar w:top="1134" w:right="1247" w:bottom="1134" w:left="1418" w:header="851" w:footer="992" w:gutter="0"/>
          <w:pgBorders>
            <w:top w:val="none" w:sz="0" w:space="0"/>
            <w:left w:val="none" w:sz="0" w:space="0"/>
            <w:bottom w:val="none" w:sz="0" w:space="0"/>
            <w:right w:val="none" w:sz="0" w:space="0"/>
          </w:pgBorders>
          <w:pgNumType w:start="0"/>
          <w:cols w:space="720" w:num="1"/>
          <w:titlePg/>
          <w:docGrid w:type="lines" w:linePitch="380" w:charSpace="-4300"/>
        </w:sectPr>
      </w:pPr>
    </w:p>
    <w:p>
      <w:pPr>
        <w:jc w:val="center"/>
        <w:outlineLvl w:val="0"/>
        <w:rPr>
          <w:rFonts w:hint="eastAsia" w:asciiTheme="minorEastAsia" w:hAnsiTheme="minorEastAsia" w:eastAsiaTheme="minorEastAsia" w:cstheme="minorEastAsia"/>
          <w:color w:val="auto"/>
          <w:sz w:val="36"/>
          <w:highlight w:val="none"/>
        </w:rPr>
      </w:pPr>
      <w:r>
        <w:rPr>
          <w:rFonts w:hint="eastAsia" w:asciiTheme="minorEastAsia" w:hAnsiTheme="minorEastAsia" w:eastAsiaTheme="minorEastAsia" w:cstheme="minorEastAsia"/>
          <w:color w:val="auto"/>
          <w:sz w:val="36"/>
          <w:highlight w:val="none"/>
        </w:rPr>
        <w:t>目   录</w:t>
      </w:r>
    </w:p>
    <w:p>
      <w:pPr>
        <w:pStyle w:val="2"/>
        <w:rPr>
          <w:rFonts w:hint="eastAsia"/>
          <w:color w:val="auto"/>
          <w:highlight w:val="none"/>
        </w:rPr>
      </w:pP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_Toc10690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第一篇  询价采购邀请书</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_Toc10690 \h </w:instrText>
      </w:r>
      <w:r>
        <w:rPr>
          <w:color w:val="auto"/>
          <w:sz w:val="21"/>
          <w:szCs w:val="21"/>
          <w:highlight w:val="none"/>
        </w:rPr>
        <w:fldChar w:fldCharType="separate"/>
      </w:r>
      <w:r>
        <w:rPr>
          <w:color w:val="auto"/>
          <w:sz w:val="21"/>
          <w:szCs w:val="21"/>
          <w:highlight w:val="none"/>
        </w:rPr>
        <w:t>2</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_Toc18478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 xml:space="preserve">第二篇  </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须知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_Toc18478 \h </w:instrText>
      </w:r>
      <w:r>
        <w:rPr>
          <w:color w:val="auto"/>
          <w:sz w:val="21"/>
          <w:szCs w:val="21"/>
          <w:highlight w:val="none"/>
        </w:rPr>
        <w:fldChar w:fldCharType="separate"/>
      </w:r>
      <w:r>
        <w:rPr>
          <w:color w:val="auto"/>
          <w:sz w:val="21"/>
          <w:szCs w:val="21"/>
          <w:highlight w:val="none"/>
        </w:rPr>
        <w:t>4</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_Toc7810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lang w:val="en-US" w:eastAsia="zh-CN"/>
        </w:rPr>
        <w:t>资格条件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_Toc7810 \h </w:instrText>
      </w:r>
      <w:r>
        <w:rPr>
          <w:color w:val="auto"/>
          <w:sz w:val="21"/>
          <w:szCs w:val="21"/>
          <w:highlight w:val="none"/>
        </w:rPr>
        <w:fldChar w:fldCharType="separate"/>
      </w:r>
      <w:r>
        <w:rPr>
          <w:color w:val="auto"/>
          <w:sz w:val="21"/>
          <w:szCs w:val="21"/>
          <w:highlight w:val="none"/>
        </w:rPr>
        <w:t>6</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_Toc20328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eastAsia="zh-CN"/>
        </w:rPr>
        <w:t>询价文件</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_Toc20328 \h </w:instrText>
      </w:r>
      <w:r>
        <w:rPr>
          <w:color w:val="auto"/>
          <w:sz w:val="21"/>
          <w:szCs w:val="21"/>
          <w:highlight w:val="none"/>
        </w:rPr>
        <w:fldChar w:fldCharType="separate"/>
      </w:r>
      <w:r>
        <w:rPr>
          <w:color w:val="auto"/>
          <w:sz w:val="21"/>
          <w:szCs w:val="21"/>
          <w:highlight w:val="none"/>
        </w:rPr>
        <w:t>7</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_Toc1796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四、报价要求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_Toc1796 \h </w:instrText>
      </w:r>
      <w:r>
        <w:rPr>
          <w:color w:val="auto"/>
          <w:sz w:val="21"/>
          <w:szCs w:val="21"/>
          <w:highlight w:val="none"/>
        </w:rPr>
        <w:fldChar w:fldCharType="separate"/>
      </w:r>
      <w:r>
        <w:rPr>
          <w:color w:val="auto"/>
          <w:sz w:val="21"/>
          <w:szCs w:val="21"/>
          <w:highlight w:val="none"/>
        </w:rPr>
        <w:t>8</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_Toc3957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五、响应报价</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_Toc3957 \h </w:instrText>
      </w:r>
      <w:r>
        <w:rPr>
          <w:color w:val="auto"/>
          <w:sz w:val="21"/>
          <w:szCs w:val="21"/>
          <w:highlight w:val="none"/>
        </w:rPr>
        <w:fldChar w:fldCharType="separate"/>
      </w:r>
      <w:r>
        <w:rPr>
          <w:color w:val="auto"/>
          <w:sz w:val="21"/>
          <w:szCs w:val="21"/>
          <w:highlight w:val="none"/>
        </w:rPr>
        <w:t>9</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_Toc32191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rPr>
        <w:t>履约保证金</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_Toc32191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_Toc7103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六、评审办法</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_Toc7103 \h </w:instrText>
      </w:r>
      <w:r>
        <w:rPr>
          <w:color w:val="auto"/>
          <w:sz w:val="21"/>
          <w:szCs w:val="21"/>
          <w:highlight w:val="none"/>
        </w:rPr>
        <w:fldChar w:fldCharType="separate"/>
      </w:r>
      <w:r>
        <w:rPr>
          <w:color w:val="auto"/>
          <w:sz w:val="21"/>
          <w:szCs w:val="21"/>
          <w:highlight w:val="none"/>
        </w:rPr>
        <w:t>10</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_Toc18460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七、成交通知</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_Toc18460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_Toc11547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八、签订合同</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_Toc11547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_Toc2120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lang w:val="en-US" w:eastAsia="zh-CN"/>
        </w:rPr>
        <w:t>九</w:t>
      </w:r>
      <w:r>
        <w:rPr>
          <w:rFonts w:hint="eastAsia" w:asciiTheme="minorEastAsia" w:hAnsiTheme="minorEastAsia" w:eastAsiaTheme="minorEastAsia" w:cstheme="minorEastAsia"/>
          <w:color w:val="auto"/>
          <w:sz w:val="21"/>
          <w:szCs w:val="21"/>
          <w:highlight w:val="none"/>
        </w:rPr>
        <w:t>、其他有关规定</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_Toc2120 \h </w:instrText>
      </w:r>
      <w:r>
        <w:rPr>
          <w:color w:val="auto"/>
          <w:sz w:val="21"/>
          <w:szCs w:val="21"/>
          <w:highlight w:val="none"/>
        </w:rPr>
        <w:fldChar w:fldCharType="separate"/>
      </w:r>
      <w:r>
        <w:rPr>
          <w:color w:val="auto"/>
          <w:sz w:val="21"/>
          <w:szCs w:val="21"/>
          <w:highlight w:val="none"/>
        </w:rPr>
        <w:t>11</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_Toc16114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第三篇  询价采购响应文件格式要求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_Toc16114 \h </w:instrText>
      </w:r>
      <w:r>
        <w:rPr>
          <w:color w:val="auto"/>
          <w:sz w:val="21"/>
          <w:szCs w:val="21"/>
          <w:highlight w:val="none"/>
        </w:rPr>
        <w:fldChar w:fldCharType="separate"/>
      </w:r>
      <w:r>
        <w:rPr>
          <w:color w:val="auto"/>
          <w:sz w:val="21"/>
          <w:szCs w:val="21"/>
          <w:highlight w:val="none"/>
        </w:rPr>
        <w:t>12</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_Toc20047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rPr>
        <w:t>二、法定代表人身份证明书（格式）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_Toc20047 \h </w:instrText>
      </w:r>
      <w:r>
        <w:rPr>
          <w:color w:val="auto"/>
          <w:sz w:val="21"/>
          <w:szCs w:val="21"/>
          <w:highlight w:val="none"/>
        </w:rPr>
        <w:fldChar w:fldCharType="separate"/>
      </w:r>
      <w:r>
        <w:rPr>
          <w:color w:val="auto"/>
          <w:sz w:val="21"/>
          <w:szCs w:val="21"/>
          <w:highlight w:val="none"/>
        </w:rPr>
        <w:t>14</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_Toc8797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rPr>
        <w:t>三</w:t>
      </w:r>
      <w:r>
        <w:rPr>
          <w:rFonts w:hint="eastAsia" w:asciiTheme="minorEastAsia" w:hAnsiTheme="minorEastAsia" w:eastAsiaTheme="minorEastAsia" w:cstheme="minorEastAsia"/>
          <w:snapToGrid w:val="0"/>
          <w:color w:val="auto"/>
          <w:kern w:val="0"/>
          <w:sz w:val="21"/>
          <w:szCs w:val="21"/>
          <w:highlight w:val="none"/>
        </w:rPr>
        <w:t>、法定代表人授权委托书（格式）</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_Toc8797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tabs>
          <w:tab w:val="right" w:leader="hyphen" w:pos="9242"/>
          <w:tab w:val="clear" w:pos="8303"/>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_Toc2870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snapToGrid w:val="0"/>
          <w:color w:val="auto"/>
          <w:kern w:val="0"/>
          <w:sz w:val="21"/>
          <w:szCs w:val="21"/>
          <w:highlight w:val="none"/>
          <w:lang w:val="en-US" w:eastAsia="zh-CN"/>
        </w:rPr>
        <w:t>四</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相关的资质证明</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_Toc2870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_Toc8016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3、拟委任的主要人员汇总表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_Toc8016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_Toc15875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4、主要人员简历表</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_Toc15875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20"/>
        <w:tabs>
          <w:tab w:val="right" w:leader="hyphen" w:pos="9242"/>
        </w:tabs>
        <w:rPr>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\l _Toc15382 </w:instrText>
      </w:r>
      <w:r>
        <w:rPr>
          <w:rFonts w:hint="eastAsia" w:asciiTheme="minorEastAsia" w:hAnsiTheme="minorEastAsia" w:eastAsiaTheme="minorEastAsia" w:cstheme="minorEastAsia"/>
          <w:color w:val="auto"/>
          <w:sz w:val="21"/>
          <w:szCs w:val="21"/>
          <w:highlight w:val="none"/>
        </w:rPr>
        <w:fldChar w:fldCharType="separate"/>
      </w:r>
      <w:r>
        <w:rPr>
          <w:rFonts w:hint="eastAsia" w:cs="Times New Roman" w:asciiTheme="minorEastAsia" w:hAnsiTheme="minorEastAsia" w:eastAsiaTheme="minorEastAsia"/>
          <w:bCs/>
          <w:color w:val="auto"/>
          <w:kern w:val="2"/>
          <w:sz w:val="21"/>
          <w:szCs w:val="21"/>
          <w:highlight w:val="none"/>
          <w:lang w:val="en-US" w:eastAsia="zh-CN" w:bidi="ar-SA"/>
        </w:rPr>
        <w:t>5、承诺</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_Toc15382 \h </w:instrText>
      </w:r>
      <w:r>
        <w:rPr>
          <w:color w:val="auto"/>
          <w:sz w:val="21"/>
          <w:szCs w:val="21"/>
          <w:highlight w:val="none"/>
        </w:rPr>
        <w:fldChar w:fldCharType="separate"/>
      </w:r>
      <w:r>
        <w:rPr>
          <w:color w:val="auto"/>
          <w:sz w:val="21"/>
          <w:szCs w:val="21"/>
          <w:highlight w:val="none"/>
        </w:rPr>
        <w:t>19</w:t>
      </w:r>
      <w:r>
        <w:rPr>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fldChar w:fldCharType="end"/>
      </w:r>
    </w:p>
    <w:p>
      <w:pPr>
        <w:pStyle w:val="12"/>
        <w:spacing w:line="400" w:lineRule="exact"/>
        <w:ind w:left="840"/>
        <w:rPr>
          <w:rFonts w:hint="eastAsia" w:asciiTheme="minorEastAsia" w:hAnsiTheme="minorEastAsia" w:eastAsiaTheme="minorEastAsia" w:cstheme="minorEastAsia"/>
          <w:color w:val="auto"/>
          <w:highlight w:val="none"/>
        </w:rPr>
        <w:sectPr>
          <w:headerReference r:id="rId8" w:type="default"/>
          <w:footerReference r:id="rId9" w:type="default"/>
          <w:pgSz w:w="11907" w:h="16840"/>
          <w:pgMar w:top="1134" w:right="1247" w:bottom="1134" w:left="1418" w:header="851" w:footer="992" w:gutter="0"/>
          <w:pgBorders>
            <w:top w:val="none" w:sz="0" w:space="0"/>
            <w:left w:val="none" w:sz="0" w:space="0"/>
            <w:bottom w:val="none" w:sz="0" w:space="0"/>
            <w:right w:val="none" w:sz="0" w:space="0"/>
          </w:pgBorders>
          <w:cols w:space="720" w:num="1"/>
          <w:titlePg/>
          <w:docGrid w:type="lines" w:linePitch="380" w:charSpace="-4300"/>
        </w:sectPr>
      </w:pPr>
      <w:r>
        <w:rPr>
          <w:rFonts w:hint="eastAsia" w:asciiTheme="minorEastAsia" w:hAnsiTheme="minorEastAsia" w:eastAsiaTheme="minorEastAsia" w:cstheme="minorEastAsia"/>
          <w:color w:val="auto"/>
          <w:sz w:val="21"/>
          <w:szCs w:val="21"/>
          <w:highlight w:val="none"/>
        </w:rPr>
        <w:fldChar w:fldCharType="end"/>
      </w:r>
    </w:p>
    <w:p>
      <w:pPr>
        <w:pStyle w:val="4"/>
        <w:spacing w:line="520" w:lineRule="exact"/>
        <w:jc w:val="center"/>
        <w:rPr>
          <w:rFonts w:hint="eastAsia" w:asciiTheme="minorEastAsia" w:hAnsiTheme="minorEastAsia" w:eastAsiaTheme="minorEastAsia" w:cstheme="minorEastAsia"/>
          <w:b w:val="0"/>
          <w:color w:val="auto"/>
          <w:sz w:val="24"/>
          <w:szCs w:val="24"/>
          <w:highlight w:val="none"/>
          <w:lang w:eastAsia="zh-CN"/>
        </w:rPr>
      </w:pPr>
      <w:bookmarkStart w:id="0" w:name="_Toc11641050"/>
      <w:bookmarkStart w:id="1" w:name="_Toc25725118"/>
      <w:bookmarkStart w:id="2" w:name="_Toc10690"/>
      <w:r>
        <w:rPr>
          <w:rFonts w:hint="eastAsia" w:asciiTheme="minorEastAsia" w:hAnsiTheme="minorEastAsia" w:eastAsiaTheme="minorEastAsia" w:cstheme="minorEastAsia"/>
          <w:b w:val="0"/>
          <w:color w:val="auto"/>
          <w:sz w:val="24"/>
          <w:szCs w:val="24"/>
          <w:highlight w:val="none"/>
        </w:rPr>
        <w:t xml:space="preserve">第一篇  </w:t>
      </w:r>
      <w:bookmarkEnd w:id="0"/>
      <w:r>
        <w:rPr>
          <w:rFonts w:hint="eastAsia" w:asciiTheme="minorEastAsia" w:hAnsiTheme="minorEastAsia" w:eastAsiaTheme="minorEastAsia" w:cstheme="minorEastAsia"/>
          <w:b w:val="0"/>
          <w:color w:val="auto"/>
          <w:sz w:val="24"/>
          <w:szCs w:val="24"/>
          <w:highlight w:val="none"/>
        </w:rPr>
        <w:t>询价采购</w:t>
      </w:r>
      <w:bookmarkEnd w:id="1"/>
      <w:bookmarkEnd w:id="2"/>
      <w:r>
        <w:rPr>
          <w:rFonts w:hint="eastAsia" w:asciiTheme="minorEastAsia" w:hAnsiTheme="minorEastAsia" w:eastAsiaTheme="minorEastAsia" w:cstheme="minorEastAsia"/>
          <w:b w:val="0"/>
          <w:color w:val="auto"/>
          <w:sz w:val="24"/>
          <w:szCs w:val="24"/>
          <w:highlight w:val="none"/>
          <w:lang w:val="en-US" w:eastAsia="zh-CN"/>
        </w:rPr>
        <w:t>公告</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重庆国际投资咨询集团有限公司</w:t>
      </w:r>
      <w:r>
        <w:rPr>
          <w:rFonts w:hint="eastAsia" w:asciiTheme="minorEastAsia" w:hAnsiTheme="minorEastAsia" w:eastAsiaTheme="minorEastAsia" w:cstheme="minorEastAsia"/>
          <w:color w:val="auto"/>
          <w:sz w:val="21"/>
          <w:szCs w:val="21"/>
          <w:highlight w:val="none"/>
        </w:rPr>
        <w:t>受</w:t>
      </w:r>
      <w:r>
        <w:rPr>
          <w:rFonts w:hint="eastAsia" w:asciiTheme="minorEastAsia" w:hAnsiTheme="minorEastAsia" w:eastAsiaTheme="minorEastAsia" w:cstheme="minorEastAsia"/>
          <w:color w:val="auto"/>
          <w:sz w:val="21"/>
          <w:szCs w:val="21"/>
          <w:highlight w:val="none"/>
          <w:lang w:eastAsia="zh-CN"/>
        </w:rPr>
        <w:t>重庆富源化工有限公司</w:t>
      </w:r>
      <w:r>
        <w:rPr>
          <w:rFonts w:hint="eastAsia" w:asciiTheme="minorEastAsia" w:hAnsiTheme="minorEastAsia" w:eastAsiaTheme="minorEastAsia" w:cstheme="minorEastAsia"/>
          <w:color w:val="auto"/>
          <w:sz w:val="21"/>
          <w:szCs w:val="21"/>
          <w:highlight w:val="none"/>
        </w:rPr>
        <w:t>的委托，对</w:t>
      </w:r>
      <w:r>
        <w:rPr>
          <w:rFonts w:hint="eastAsia" w:asciiTheme="minorEastAsia" w:hAnsiTheme="minorEastAsia" w:eastAsiaTheme="minorEastAsia" w:cstheme="minorEastAsia"/>
          <w:color w:val="auto"/>
          <w:sz w:val="21"/>
          <w:szCs w:val="21"/>
          <w:highlight w:val="none"/>
          <w:lang w:eastAsia="zh-CN"/>
        </w:rPr>
        <w:t>重庆富源化工有限公司复合肥原料库房建设项目监理（第二次）</w:t>
      </w:r>
      <w:r>
        <w:rPr>
          <w:rFonts w:hint="eastAsia" w:asciiTheme="minorEastAsia" w:hAnsiTheme="minorEastAsia" w:eastAsiaTheme="minorEastAsia" w:cstheme="minorEastAsia"/>
          <w:color w:val="auto"/>
          <w:sz w:val="21"/>
          <w:szCs w:val="21"/>
          <w:highlight w:val="none"/>
        </w:rPr>
        <w:t>采购项目进行询价采购。欢迎有资格的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在“咨采平台”（www.zicaipingtai.com）进行报价。</w:t>
      </w:r>
    </w:p>
    <w:p>
      <w:pPr>
        <w:snapToGrid w:val="0"/>
        <w:spacing w:line="520" w:lineRule="exact"/>
        <w:ind w:firstLine="645"/>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1、项目概况</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1.1工程名称：重庆富源化工有限公司复合肥原料库房建设项目</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1.2工程地点：重庆市垫江县砚台镇砚台大道100号。</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1.3工程规模内容及工程概算：</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规模：复合肥原料库房，占地面积3315.95m2。</w:t>
      </w:r>
    </w:p>
    <w:p>
      <w:pPr>
        <w:snapToGrid w:val="0"/>
        <w:spacing w:line="520" w:lineRule="exact"/>
        <w:ind w:firstLine="64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投资总额：人民币约</w:t>
      </w:r>
      <w:r>
        <w:rPr>
          <w:rFonts w:hint="eastAsia" w:asciiTheme="minorEastAsia" w:hAnsiTheme="minorEastAsia" w:eastAsiaTheme="minorEastAsia" w:cstheme="minorEastAsia"/>
          <w:color w:val="auto"/>
          <w:sz w:val="21"/>
          <w:szCs w:val="21"/>
          <w:highlight w:val="none"/>
          <w:lang w:val="en-US" w:eastAsia="zh-CN"/>
        </w:rPr>
        <w:t>599</w:t>
      </w:r>
      <w:r>
        <w:rPr>
          <w:rFonts w:hint="eastAsia" w:asciiTheme="minorEastAsia" w:hAnsiTheme="minorEastAsia" w:eastAsiaTheme="minorEastAsia" w:cstheme="minorEastAsia"/>
          <w:color w:val="auto"/>
          <w:sz w:val="21"/>
          <w:szCs w:val="21"/>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atLeast"/>
        <w:ind w:firstLine="64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范围：</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提供的施工图等所示范围的全部工程内容以及</w:t>
      </w:r>
      <w:r>
        <w:rPr>
          <w:rFonts w:hint="eastAsia" w:asciiTheme="minorEastAsia" w:hAnsiTheme="minorEastAsia" w:eastAsiaTheme="minorEastAsia" w:cstheme="minorEastAsia"/>
          <w:color w:val="auto"/>
          <w:sz w:val="21"/>
          <w:szCs w:val="21"/>
          <w:highlight w:val="none"/>
          <w:lang w:val="en-US" w:eastAsia="zh-CN"/>
        </w:rPr>
        <w:t>询价</w:t>
      </w:r>
      <w:r>
        <w:rPr>
          <w:rFonts w:hint="eastAsia" w:asciiTheme="minorEastAsia" w:hAnsiTheme="minorEastAsia" w:eastAsiaTheme="minorEastAsia" w:cstheme="minorEastAsia"/>
          <w:color w:val="auto"/>
          <w:sz w:val="21"/>
          <w:szCs w:val="21"/>
          <w:highlight w:val="none"/>
        </w:rPr>
        <w:t>文件中补充的工程内容、答疑资料、澄清资料、其他补遗资料等相关内容，具体以本项目发布的施工设计图及工程量清单所示工程范围内施工阶段及缺陷责任期的全过程监理服务；包括：“</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控制、</w:t>
      </w:r>
      <w:r>
        <w:rPr>
          <w:rFonts w:hint="eastAsia" w:asciiTheme="minorEastAsia" w:hAnsiTheme="minorEastAsia" w:eastAsiaTheme="minorEastAsia" w:cstheme="minorEastAsia"/>
          <w:color w:val="auto"/>
          <w:sz w:val="21"/>
          <w:szCs w:val="21"/>
          <w:highlight w:val="none"/>
          <w:lang w:eastAsia="zh-CN"/>
        </w:rPr>
        <w:t>五</w:t>
      </w:r>
      <w:r>
        <w:rPr>
          <w:rFonts w:hint="eastAsia" w:asciiTheme="minorEastAsia" w:hAnsiTheme="minorEastAsia" w:eastAsiaTheme="minorEastAsia" w:cstheme="minorEastAsia"/>
          <w:color w:val="auto"/>
          <w:sz w:val="21"/>
          <w:szCs w:val="21"/>
          <w:highlight w:val="none"/>
        </w:rPr>
        <w:t>管理、一协调”即：投资控制、质量控制、进度控制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HSE控制、</w:t>
      </w:r>
      <w:r>
        <w:rPr>
          <w:rFonts w:hint="eastAsia" w:asciiTheme="minorEastAsia" w:hAnsiTheme="minorEastAsia" w:eastAsiaTheme="minorEastAsia" w:cstheme="minorEastAsia"/>
          <w:color w:val="auto"/>
          <w:sz w:val="21"/>
          <w:szCs w:val="21"/>
          <w:highlight w:val="none"/>
        </w:rPr>
        <w:t>廉政控制；</w:t>
      </w:r>
      <w:r>
        <w:rPr>
          <w:rFonts w:hint="eastAsia" w:asciiTheme="minorEastAsia" w:hAnsiTheme="minorEastAsia" w:eastAsiaTheme="minorEastAsia" w:cstheme="minorEastAsia"/>
          <w:color w:val="auto"/>
          <w:sz w:val="21"/>
          <w:szCs w:val="21"/>
          <w:highlight w:val="none"/>
          <w:lang w:eastAsia="zh-CN"/>
        </w:rPr>
        <w:t>设计管理、招投标管理、现场</w:t>
      </w:r>
      <w:r>
        <w:rPr>
          <w:rFonts w:hint="eastAsia" w:asciiTheme="minorEastAsia" w:hAnsiTheme="minorEastAsia" w:eastAsiaTheme="minorEastAsia" w:cstheme="minorEastAsia"/>
          <w:color w:val="auto"/>
          <w:sz w:val="21"/>
          <w:szCs w:val="21"/>
          <w:highlight w:val="none"/>
        </w:rPr>
        <w:t>管理、合同管理、信息管理；协调有关单位之间的工作关系，配合工程结算审计和质量缺陷期内的争议问题处理。</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、此次项目采用全程电子化采购，供应商在咨采平台网上报价。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、咨采平台官方网址：www.zicaipingtai.com。</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、供应商参与此项目竞价，须登录咨采平台官方网址先行进行供应商注册</w:t>
      </w:r>
      <w:r>
        <w:rPr>
          <w:rFonts w:hint="eastAsia" w:asciiTheme="minorEastAsia" w:hAnsiTheme="minorEastAsia" w:eastAsiaTheme="minorEastAsia" w:cstheme="minorEastAsia"/>
          <w:color w:val="auto"/>
          <w:sz w:val="21"/>
          <w:szCs w:val="21"/>
          <w:highlight w:val="none"/>
          <w:lang w:val="en-US" w:eastAsia="zh-CN"/>
        </w:rPr>
        <w:t>并报名</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询价报名截止时间：2024年1月8日17:00 ；</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eastAsia="宋体" w:asciiTheme="minorEastAsia" w:hAnsi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询价网上报价开始及截止时间：2024年1月9日9:00至2024年1月9日11:00</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报价方式：咨采平台网上报价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供应商请</w:t>
      </w:r>
      <w:r>
        <w:rPr>
          <w:rFonts w:hint="eastAsia" w:asciiTheme="minorEastAsia" w:hAnsiTheme="minorEastAsia" w:eastAsiaTheme="minorEastAsia" w:cstheme="minorEastAsia"/>
          <w:color w:val="auto"/>
          <w:sz w:val="21"/>
          <w:szCs w:val="21"/>
          <w:highlight w:val="none"/>
          <w:lang w:val="en-US" w:eastAsia="zh-CN"/>
        </w:rPr>
        <w:t>2024年1月9日11：00前</w:t>
      </w:r>
      <w:r>
        <w:rPr>
          <w:rFonts w:hint="eastAsia" w:asciiTheme="minorEastAsia" w:hAnsiTheme="minorEastAsia" w:eastAsiaTheme="minorEastAsia" w:cstheme="minorEastAsia"/>
          <w:color w:val="auto"/>
          <w:sz w:val="21"/>
          <w:szCs w:val="21"/>
          <w:highlight w:val="none"/>
          <w:lang w:eastAsia="zh-CN"/>
        </w:rPr>
        <w:t>完成项目询价所需文件电子档（如资质文件等）的上传，并</w:t>
      </w:r>
      <w:r>
        <w:rPr>
          <w:rFonts w:hint="eastAsia" w:asciiTheme="minorEastAsia" w:hAnsiTheme="minorEastAsia" w:eastAsiaTheme="minorEastAsia" w:cstheme="minorEastAsia"/>
          <w:color w:val="auto"/>
          <w:sz w:val="21"/>
          <w:szCs w:val="21"/>
          <w:highlight w:val="none"/>
          <w:lang w:val="en-US" w:eastAsia="zh-CN"/>
        </w:rPr>
        <w:t>请在2024年1月9日11:00前</w:t>
      </w:r>
      <w:r>
        <w:rPr>
          <w:rFonts w:hint="eastAsia" w:asciiTheme="minorEastAsia" w:hAnsiTheme="minorEastAsia" w:eastAsiaTheme="minorEastAsia" w:cstheme="minorEastAsia"/>
          <w:color w:val="auto"/>
          <w:sz w:val="21"/>
          <w:szCs w:val="21"/>
          <w:highlight w:val="none"/>
          <w:lang w:eastAsia="zh-CN"/>
        </w:rPr>
        <w:t>参与网上报价，否则视为无效询价。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bookmarkStart w:id="3" w:name="_Hlk136358212"/>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询价网上报价截止时间后三个工作日内供应商须将</w:t>
      </w:r>
      <w:bookmarkStart w:id="4" w:name="_Hlk135745748"/>
      <w:r>
        <w:rPr>
          <w:rFonts w:hint="eastAsia" w:asciiTheme="minorEastAsia" w:hAnsiTheme="minorEastAsia" w:eastAsiaTheme="minorEastAsia" w:cstheme="minorEastAsia"/>
          <w:color w:val="auto"/>
          <w:sz w:val="21"/>
          <w:szCs w:val="21"/>
          <w:highlight w:val="none"/>
          <w:lang w:eastAsia="zh-CN"/>
        </w:rPr>
        <w:t>纸质版的《询价响应文件》</w:t>
      </w:r>
      <w:bookmarkStart w:id="74" w:name="_GoBack"/>
      <w:bookmarkEnd w:id="74"/>
      <w:r>
        <w:rPr>
          <w:rFonts w:hint="eastAsia" w:asciiTheme="minorEastAsia" w:hAnsiTheme="minorEastAsia" w:eastAsiaTheme="minorEastAsia" w:cstheme="minorEastAsia"/>
          <w:color w:val="auto"/>
          <w:sz w:val="21"/>
          <w:szCs w:val="21"/>
          <w:highlight w:val="none"/>
          <w:lang w:eastAsia="zh-CN"/>
        </w:rPr>
        <w:t>（扫描件需加盖公章）</w:t>
      </w:r>
      <w:bookmarkEnd w:id="4"/>
      <w:bookmarkStart w:id="5" w:name="_Hlk135745722"/>
      <w:r>
        <w:rPr>
          <w:rFonts w:hint="eastAsia" w:asciiTheme="minorEastAsia" w:hAnsiTheme="minorEastAsia" w:eastAsiaTheme="minorEastAsia" w:cstheme="minorEastAsia"/>
          <w:color w:val="auto"/>
          <w:sz w:val="21"/>
          <w:szCs w:val="21"/>
          <w:highlight w:val="none"/>
          <w:lang w:eastAsia="zh-CN"/>
        </w:rPr>
        <w:t>装订成册送至</w:t>
      </w:r>
      <w:r>
        <w:rPr>
          <w:rFonts w:hint="eastAsia" w:asciiTheme="minorEastAsia" w:hAnsiTheme="minorEastAsia" w:eastAsiaTheme="minorEastAsia" w:cstheme="minorEastAsia"/>
          <w:color w:val="auto"/>
          <w:sz w:val="21"/>
          <w:szCs w:val="21"/>
          <w:highlight w:val="none"/>
          <w:lang w:val="en-US" w:eastAsia="zh-CN"/>
        </w:rPr>
        <w:t>采购代理机构</w:t>
      </w:r>
      <w:r>
        <w:rPr>
          <w:rFonts w:hint="eastAsia" w:asciiTheme="minorEastAsia" w:hAnsiTheme="minorEastAsia" w:eastAsiaTheme="minorEastAsia" w:cstheme="minorEastAsia"/>
          <w:color w:val="auto"/>
          <w:sz w:val="21"/>
          <w:szCs w:val="21"/>
          <w:highlight w:val="none"/>
          <w:lang w:eastAsia="zh-CN"/>
        </w:rPr>
        <w:t>处（重庆市江北区五里店五简路2号重咨大厦A栋</w:t>
      </w:r>
      <w:r>
        <w:rPr>
          <w:rFonts w:hint="eastAsia" w:asciiTheme="minorEastAsia" w:hAnsiTheme="minorEastAsia" w:eastAsiaTheme="minorEastAsia" w:cstheme="minorEastAsia"/>
          <w:color w:val="auto"/>
          <w:sz w:val="21"/>
          <w:szCs w:val="21"/>
          <w:highlight w:val="none"/>
          <w:lang w:val="en-US" w:eastAsia="zh-CN"/>
        </w:rPr>
        <w:t>2001</w:t>
      </w:r>
      <w:r>
        <w:rPr>
          <w:rFonts w:hint="eastAsia" w:asciiTheme="minorEastAsia" w:hAnsiTheme="minorEastAsia" w:eastAsiaTheme="minorEastAsia" w:cstheme="minorEastAsia"/>
          <w:color w:val="auto"/>
          <w:sz w:val="21"/>
          <w:szCs w:val="21"/>
          <w:highlight w:val="none"/>
          <w:lang w:eastAsia="zh-CN"/>
        </w:rPr>
        <w:t>室），未按时送达该文件或文件送达后，经采购人审核未达到响应标准的，均视为报价无效，按排名依次递补。</w:t>
      </w:r>
      <w:bookmarkEnd w:id="3"/>
      <w:bookmarkEnd w:id="5"/>
    </w:p>
    <w:p>
      <w:pPr>
        <w:pStyle w:val="2"/>
        <w:rPr>
          <w:rFonts w:hint="eastAsia"/>
          <w:color w:val="auto"/>
          <w:highlight w:val="none"/>
          <w:lang w:eastAsia="zh-CN"/>
        </w:rPr>
      </w:pPr>
    </w:p>
    <w:p>
      <w:pPr>
        <w:tabs>
          <w:tab w:val="left" w:pos="360"/>
        </w:tabs>
        <w:snapToGrid w:val="0"/>
        <w:spacing w:line="460" w:lineRule="atLeast"/>
        <w:ind w:firstLine="315" w:firstLineChars="15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hAnsi="宋体"/>
          <w:bCs/>
          <w:color w:val="auto"/>
          <w:spacing w:val="6"/>
          <w:sz w:val="21"/>
          <w:szCs w:val="21"/>
          <w:highlight w:val="none"/>
        </w:rPr>
        <w:t>本项目</w:t>
      </w:r>
      <w:r>
        <w:rPr>
          <w:rFonts w:hint="eastAsia" w:hAnsi="宋体"/>
          <w:bCs/>
          <w:color w:val="auto"/>
          <w:spacing w:val="6"/>
          <w:sz w:val="21"/>
          <w:szCs w:val="21"/>
          <w:highlight w:val="none"/>
          <w:lang w:val="en-US" w:eastAsia="zh-CN"/>
        </w:rPr>
        <w:t>询价采购</w:t>
      </w:r>
      <w:r>
        <w:rPr>
          <w:rFonts w:hint="eastAsia" w:hAnsi="宋体"/>
          <w:bCs/>
          <w:color w:val="auto"/>
          <w:spacing w:val="6"/>
          <w:sz w:val="21"/>
          <w:szCs w:val="21"/>
          <w:highlight w:val="none"/>
        </w:rPr>
        <w:t>在中国招标投标公共服务平台</w:t>
      </w:r>
      <w:r>
        <w:rPr>
          <w:rFonts w:hint="eastAsia" w:hAnsi="宋体"/>
          <w:bCs/>
          <w:color w:val="auto"/>
          <w:spacing w:val="6"/>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咨采平台官网</w:t>
      </w:r>
      <w:r>
        <w:rPr>
          <w:rFonts w:hint="eastAsia" w:asciiTheme="minorEastAsia" w:hAnsiTheme="minorEastAsia" w:eastAsiaTheme="minorEastAsia" w:cstheme="minorEastAsia"/>
          <w:color w:val="auto"/>
          <w:sz w:val="21"/>
          <w:szCs w:val="21"/>
          <w:highlight w:val="none"/>
          <w:lang w:val="en-US" w:eastAsia="zh-CN"/>
        </w:rPr>
        <w:t>同时</w:t>
      </w:r>
      <w:r>
        <w:rPr>
          <w:rFonts w:hint="eastAsia" w:hAnsi="宋体"/>
          <w:bCs/>
          <w:color w:val="auto"/>
          <w:spacing w:val="6"/>
          <w:sz w:val="21"/>
          <w:szCs w:val="21"/>
          <w:highlight w:val="none"/>
        </w:rPr>
        <w:t>上发布。</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eastAsia="zh-CN"/>
        </w:rPr>
        <w:t>联系办法：</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（1）采购人：重庆富源化工有限公司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地址：重庆市垫江县砚台镇砚台大道100号</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联系人：吕先生、邓先生</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lang w:eastAsia="zh-CN"/>
        </w:rPr>
        <w:t>023-74588700</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重庆国际投资咨询集团有限公司</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  址：重庆市江北区五简路2号重咨大厦20楼2001室</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联系人：罗女士</w:t>
      </w:r>
    </w:p>
    <w:p>
      <w:pPr>
        <w:keepNext w:val="0"/>
        <w:keepLines w:val="0"/>
        <w:pageBreakBefore w:val="0"/>
        <w:widowControl w:val="0"/>
        <w:kinsoku/>
        <w:wordWrap/>
        <w:overflowPunct/>
        <w:topLinePunct w:val="0"/>
        <w:autoSpaceDE/>
        <w:autoSpaceDN/>
        <w:bidi w:val="0"/>
        <w:adjustRightInd/>
        <w:snapToGrid w:val="0"/>
        <w:spacing w:line="600" w:lineRule="atLeas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电  话：023-67703002          传  真：023-67702024   </w:t>
      </w:r>
    </w:p>
    <w:p>
      <w:pPr>
        <w:snapToGrid w:val="0"/>
        <w:spacing w:line="520" w:lineRule="exact"/>
        <w:ind w:firstLine="735" w:firstLineChars="350"/>
        <w:rPr>
          <w:rFonts w:hint="eastAsia" w:asciiTheme="minorEastAsia" w:hAnsiTheme="minorEastAsia" w:eastAsiaTheme="minorEastAsia" w:cstheme="minorEastAsia"/>
          <w:color w:val="auto"/>
          <w:sz w:val="21"/>
          <w:szCs w:val="21"/>
          <w:highlight w:val="none"/>
        </w:rPr>
      </w:pPr>
    </w:p>
    <w:p>
      <w:pPr>
        <w:pStyle w:val="4"/>
        <w:spacing w:line="520" w:lineRule="exact"/>
        <w:jc w:val="center"/>
        <w:rPr>
          <w:rFonts w:hint="eastAsia" w:asciiTheme="minorEastAsia" w:hAnsiTheme="minorEastAsia" w:eastAsiaTheme="minorEastAsia" w:cstheme="minorEastAsia"/>
          <w:b w:val="0"/>
          <w:color w:val="auto"/>
          <w:sz w:val="36"/>
          <w:highlight w:val="none"/>
        </w:rPr>
      </w:pPr>
      <w:r>
        <w:rPr>
          <w:rFonts w:hint="eastAsia" w:asciiTheme="minorEastAsia" w:hAnsiTheme="minorEastAsia" w:eastAsiaTheme="minorEastAsia" w:cstheme="minorEastAsia"/>
          <w:b w:val="0"/>
          <w:color w:val="auto"/>
          <w:sz w:val="28"/>
          <w:highlight w:val="none"/>
        </w:rPr>
        <w:br w:type="page"/>
      </w:r>
      <w:bookmarkStart w:id="6" w:name="_Toc18478"/>
      <w:r>
        <w:rPr>
          <w:rFonts w:hint="eastAsia" w:asciiTheme="minorEastAsia" w:hAnsiTheme="minorEastAsia" w:eastAsiaTheme="minorEastAsia" w:cstheme="minorEastAsia"/>
          <w:b w:val="0"/>
          <w:color w:val="auto"/>
          <w:sz w:val="36"/>
          <w:highlight w:val="none"/>
        </w:rPr>
        <w:t xml:space="preserve">第二篇  </w:t>
      </w:r>
      <w:r>
        <w:rPr>
          <w:rFonts w:hint="eastAsia" w:asciiTheme="minorEastAsia" w:hAnsiTheme="minorEastAsia" w:eastAsiaTheme="minorEastAsia" w:cstheme="minorEastAsia"/>
          <w:b w:val="0"/>
          <w:color w:val="auto"/>
          <w:sz w:val="36"/>
          <w:highlight w:val="none"/>
          <w:lang w:eastAsia="zh-CN"/>
        </w:rPr>
        <w:t>供应商</w:t>
      </w:r>
      <w:r>
        <w:rPr>
          <w:rFonts w:hint="eastAsia" w:asciiTheme="minorEastAsia" w:hAnsiTheme="minorEastAsia" w:eastAsiaTheme="minorEastAsia" w:cstheme="minorEastAsia"/>
          <w:b w:val="0"/>
          <w:color w:val="auto"/>
          <w:sz w:val="36"/>
          <w:highlight w:val="none"/>
        </w:rPr>
        <w:t>须知</w:t>
      </w:r>
      <w:bookmarkEnd w:id="6"/>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sz w:val="21"/>
          <w:szCs w:val="21"/>
          <w:highlight w:val="none"/>
          <w:lang w:eastAsia="zh-CN"/>
        </w:rPr>
        <w:t>、</w:t>
      </w:r>
      <w:r>
        <w:rPr>
          <w:rFonts w:hint="eastAsia" w:ascii="宋体" w:hAnsi="宋体" w:eastAsia="宋体" w:cs="宋体"/>
          <w:b/>
          <w:color w:val="auto"/>
          <w:sz w:val="21"/>
          <w:szCs w:val="21"/>
          <w:highlight w:val="none"/>
        </w:rPr>
        <w:t>工程概况</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1.1工程名称：重庆富源化工有限公司复合肥原料库房建设项目</w:t>
      </w:r>
    </w:p>
    <w:p>
      <w:pPr>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1.2工程地点：重庆市垫江县砚台镇砚台大道100号。</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1.3工程规模内容及工程概算：</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规模：复合肥原料库房，</w:t>
      </w:r>
      <w:r>
        <w:rPr>
          <w:rFonts w:hint="eastAsia" w:ascii="宋体" w:hAnsi="宋体" w:eastAsia="宋体" w:cs="宋体"/>
          <w:color w:val="auto"/>
          <w:sz w:val="21"/>
          <w:szCs w:val="21"/>
          <w:highlight w:val="none"/>
          <w:lang w:val="zh-CN"/>
        </w:rPr>
        <w:t>总建筑面积：3315.95平方米,其中计容建筑面积6631.90平方米</w:t>
      </w:r>
      <w:r>
        <w:rPr>
          <w:rFonts w:hint="eastAsia" w:ascii="宋体" w:hAnsi="宋体" w:cs="宋体"/>
          <w:color w:val="auto"/>
          <w:sz w:val="21"/>
          <w:szCs w:val="21"/>
          <w:highlight w:val="none"/>
          <w:lang w:val="en-US" w:eastAsia="zh-CN"/>
        </w:rPr>
        <w:t>;库房采用轻钢结构，上段高10.74米，下段高13.94米，0.00平面以上至1.20米为砖墙结构，1.20米以上部分为双层压型金属板，内衬50厚玻璃棉毡，库房安装2台5吨电动行车（地操），以及相关附属设施</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投资总额：人民币约</w:t>
      </w:r>
      <w:r>
        <w:rPr>
          <w:rFonts w:hint="eastAsia" w:ascii="宋体" w:hAnsi="宋体" w:eastAsia="宋体" w:cs="宋体"/>
          <w:color w:val="auto"/>
          <w:sz w:val="21"/>
          <w:szCs w:val="21"/>
          <w:highlight w:val="none"/>
          <w:lang w:val="en-US" w:eastAsia="zh-CN"/>
        </w:rPr>
        <w:t>599</w:t>
      </w:r>
      <w:r>
        <w:rPr>
          <w:rFonts w:hint="eastAsia" w:ascii="宋体" w:hAnsi="宋体" w:eastAsia="宋体" w:cs="宋体"/>
          <w:color w:val="auto"/>
          <w:sz w:val="21"/>
          <w:szCs w:val="21"/>
          <w:highlight w:val="none"/>
        </w:rPr>
        <w:t>万元。</w:t>
      </w:r>
    </w:p>
    <w:p>
      <w:pPr>
        <w:pStyle w:val="44"/>
        <w:ind w:firstLine="420" w:firstLineChars="200"/>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1.4工程监理限价：参照国家发展改革委、建设部关于印发《建设工程监理与相关服务收费管理规定》的通知（发改价格【2007】670号）规定，本工程限价为1</w:t>
      </w:r>
      <w:r>
        <w:rPr>
          <w:rFonts w:hint="eastAsia" w:cs="宋体"/>
          <w:b w:val="0"/>
          <w:color w:val="auto"/>
          <w:kern w:val="2"/>
          <w:sz w:val="21"/>
          <w:szCs w:val="21"/>
          <w:highlight w:val="none"/>
          <w:lang w:val="en-US" w:eastAsia="zh-CN" w:bidi="ar-SA"/>
        </w:rPr>
        <w:t>9.5</w:t>
      </w:r>
      <w:r>
        <w:rPr>
          <w:rFonts w:hint="eastAsia" w:ascii="宋体" w:hAnsi="宋体" w:eastAsia="宋体" w:cs="宋体"/>
          <w:b w:val="0"/>
          <w:color w:val="auto"/>
          <w:kern w:val="2"/>
          <w:sz w:val="21"/>
          <w:szCs w:val="21"/>
          <w:highlight w:val="none"/>
          <w:lang w:val="en-US" w:eastAsia="zh-CN" w:bidi="ar-SA"/>
        </w:rPr>
        <w:t>万元。</w:t>
      </w:r>
    </w:p>
    <w:p>
      <w:pPr>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b/>
          <w:color w:val="auto"/>
          <w:sz w:val="21"/>
          <w:szCs w:val="21"/>
          <w:highlight w:val="none"/>
        </w:rPr>
        <w:t>建设依据</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重庆市企业投资项目备案证：项目代码2305-500231-04-01-505456，</w:t>
      </w:r>
      <w:r>
        <w:rPr>
          <w:rFonts w:hint="eastAsia" w:ascii="宋体" w:hAnsi="宋体" w:eastAsia="宋体" w:cs="宋体"/>
          <w:color w:val="auto"/>
          <w:sz w:val="21"/>
          <w:szCs w:val="21"/>
          <w:highlight w:val="none"/>
        </w:rPr>
        <w:t>建设用地规划许可证：地字第500115202100004</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1.3</w:t>
      </w:r>
      <w:r>
        <w:rPr>
          <w:rFonts w:hint="eastAsia" w:ascii="宋体" w:hAnsi="宋体" w:eastAsia="宋体" w:cs="宋体"/>
          <w:b/>
          <w:color w:val="auto"/>
          <w:sz w:val="21"/>
          <w:szCs w:val="21"/>
          <w:highlight w:val="none"/>
        </w:rPr>
        <w:t>有关单位和机构</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建设单位(业主)：重庆富源化工有限公司</w:t>
      </w:r>
    </w:p>
    <w:p>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1.3.2 设计单位：</w:t>
      </w:r>
      <w:r>
        <w:rPr>
          <w:rFonts w:hint="eastAsia" w:ascii="宋体" w:hAnsi="宋体" w:eastAsia="宋体" w:cs="宋体"/>
          <w:color w:val="auto"/>
          <w:sz w:val="21"/>
          <w:szCs w:val="21"/>
          <w:highlight w:val="none"/>
          <w:lang w:val="zh-CN"/>
        </w:rPr>
        <w:t>重庆化工设计研究院有限公司</w:t>
      </w:r>
    </w:p>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1.4</w:t>
      </w:r>
      <w:r>
        <w:rPr>
          <w:rFonts w:hint="eastAsia" w:ascii="宋体" w:hAnsi="宋体" w:eastAsia="宋体" w:cs="宋体"/>
          <w:b/>
          <w:color w:val="auto"/>
          <w:sz w:val="21"/>
          <w:szCs w:val="21"/>
          <w:highlight w:val="none"/>
        </w:rPr>
        <w:t xml:space="preserve"> 现场条件</w:t>
      </w:r>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Cs/>
          <w:color w:val="auto"/>
          <w:sz w:val="21"/>
          <w:szCs w:val="21"/>
          <w:highlight w:val="none"/>
        </w:rPr>
        <w:t>良好</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施工质量目标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报建项目，质量达到合格</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施工进度计划</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现场施工以甲方通知为准</w:t>
      </w:r>
      <w:r>
        <w:rPr>
          <w:rFonts w:hint="eastAsia" w:ascii="宋体" w:hAnsi="宋体" w:eastAsia="宋体" w:cs="宋体"/>
          <w:color w:val="auto"/>
          <w:sz w:val="21"/>
          <w:szCs w:val="21"/>
          <w:highlight w:val="none"/>
        </w:rPr>
        <w:t>。</w:t>
      </w:r>
    </w:p>
    <w:p>
      <w:pPr>
        <w:ind w:firstLine="472" w:firstLineChars="225"/>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b/>
          <w:color w:val="auto"/>
          <w:sz w:val="21"/>
          <w:szCs w:val="21"/>
          <w:highlight w:val="none"/>
        </w:rPr>
        <w:t>监理服务期</w:t>
      </w:r>
    </w:p>
    <w:p>
      <w:pPr>
        <w:ind w:firstLine="48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与施工工期同步</w:t>
      </w:r>
    </w:p>
    <w:p>
      <w:pPr>
        <w:ind w:firstLine="48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监理服务内容和要求</w:t>
      </w:r>
      <w:r>
        <w:rPr>
          <w:rFonts w:hint="eastAsia" w:ascii="宋体" w:hAnsi="宋体" w:cs="宋体"/>
          <w:color w:val="auto"/>
          <w:sz w:val="21"/>
          <w:szCs w:val="21"/>
          <w:highlight w:val="none"/>
          <w:lang w:eastAsia="zh-CN"/>
        </w:rPr>
        <w:t>：根据石油化工建设工程项目监理规范（SH T 3093-2017）内容要求进行监理，</w:t>
      </w:r>
      <w:r>
        <w:rPr>
          <w:rFonts w:hint="eastAsia" w:ascii="宋体" w:hAnsi="宋体" w:eastAsia="宋体" w:cs="宋体"/>
          <w:color w:val="auto"/>
          <w:sz w:val="21"/>
          <w:szCs w:val="21"/>
          <w:highlight w:val="none"/>
        </w:rPr>
        <w:t>包括但不限于</w:t>
      </w:r>
      <w:r>
        <w:rPr>
          <w:rFonts w:hint="eastAsia" w:ascii="宋体" w:hAnsi="宋体" w:cs="宋体"/>
          <w:color w:val="auto"/>
          <w:sz w:val="21"/>
          <w:szCs w:val="21"/>
          <w:highlight w:val="none"/>
          <w:lang w:eastAsia="zh-CN"/>
        </w:rPr>
        <w:t>以下内容</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编制监理大纲、监理规划、监理实施细则等；</w:t>
      </w:r>
    </w:p>
    <w:p>
      <w:pPr>
        <w:spacing w:line="360" w:lineRule="auto"/>
        <w:ind w:firstLine="48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参与</w:t>
      </w:r>
      <w:r>
        <w:rPr>
          <w:rFonts w:hint="eastAsia" w:ascii="宋体" w:hAnsi="宋体" w:eastAsia="宋体" w:cs="宋体"/>
          <w:color w:val="auto"/>
          <w:sz w:val="21"/>
          <w:szCs w:val="21"/>
          <w:highlight w:val="none"/>
          <w:lang w:val="en-US" w:eastAsia="zh-CN"/>
        </w:rPr>
        <w:t>施工图纸会审</w:t>
      </w:r>
      <w:r>
        <w:rPr>
          <w:rFonts w:hint="eastAsia" w:ascii="宋体" w:hAnsi="宋体" w:cs="宋体"/>
          <w:color w:val="auto"/>
          <w:sz w:val="21"/>
          <w:szCs w:val="21"/>
          <w:highlight w:val="none"/>
          <w:lang w:val="en-US" w:eastAsia="zh-CN"/>
        </w:rPr>
        <w:t>及设计技术交底；</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组织监理例会、签订工程变更、工程计量、见证取样、旁站、巡视、平行检验、质量控制、费用索赔、</w:t>
      </w:r>
      <w:r>
        <w:rPr>
          <w:rFonts w:hint="eastAsia" w:ascii="宋体" w:hAnsi="宋体" w:cs="宋体"/>
          <w:color w:val="auto"/>
          <w:sz w:val="21"/>
          <w:szCs w:val="21"/>
          <w:highlight w:val="none"/>
          <w:lang w:val="en-US" w:eastAsia="zh-CN"/>
        </w:rPr>
        <w:t>HSE管理、三查四定、工程中间交接、单机试车、联动试车、投料试车、交工验收、竣工验收等所有活动</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.4协助业主做好开工前准备，审批开工报告，复核灰线，经业主同意下达开工令。</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组织</w:t>
      </w:r>
      <w:r>
        <w:rPr>
          <w:rFonts w:hint="eastAsia" w:ascii="宋体" w:hAnsi="宋体" w:eastAsia="宋体" w:cs="宋体"/>
          <w:color w:val="auto"/>
          <w:sz w:val="21"/>
          <w:szCs w:val="21"/>
          <w:highlight w:val="none"/>
        </w:rPr>
        <w:t>施工组织设计</w:t>
      </w:r>
      <w:r>
        <w:rPr>
          <w:rFonts w:hint="eastAsia" w:ascii="宋体" w:hAnsi="宋体" w:cs="宋体"/>
          <w:color w:val="auto"/>
          <w:sz w:val="21"/>
          <w:szCs w:val="21"/>
          <w:highlight w:val="none"/>
          <w:lang w:val="en-US" w:eastAsia="zh-CN"/>
        </w:rPr>
        <w:t>/施工技术方案审查</w:t>
      </w:r>
      <w:r>
        <w:rPr>
          <w:rFonts w:hint="eastAsia" w:ascii="宋体" w:hAnsi="宋体" w:eastAsia="宋体" w:cs="宋体"/>
          <w:color w:val="auto"/>
          <w:sz w:val="21"/>
          <w:szCs w:val="21"/>
          <w:highlight w:val="none"/>
        </w:rPr>
        <w:t>，审查和检查施工技术措施、质量保证体系及安全防护措施，提出合理的整改意见和建议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并签字确认</w:t>
      </w:r>
      <w:r>
        <w:rPr>
          <w:rFonts w:hint="eastAsia" w:ascii="宋体" w:hAnsi="宋体" w:eastAsia="宋体" w:cs="宋体"/>
          <w:color w:val="auto"/>
          <w:sz w:val="21"/>
          <w:szCs w:val="21"/>
          <w:highlight w:val="none"/>
        </w:rPr>
        <w:t>。</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.6审查承包商采购清单，检查工程使用材料、构件、设备的规格、质量与数量。督促承包商编制材料的供需计划，协助业主安排甲供材料的供应计划。</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.7对施工变更的签证，主持施工图交底，参与设计变更的签证，复核施工变更。</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.8主持召开工程协调会议及综合管理协调会议，主持召开工程协调会议并做好会议纪要，调解有关工程建设各种合同争议，处理索赔事项。</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.9检查安全防护措施和文明施工,检查督促工程进度、施工质量。</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.10督促施工单位及时整理技术资料及竣工验收资料。</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.11协助业主对工程投资进行控制，对施工单位提出的付款申请进行审核。</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.12参加审核工程结算，协助业主审核工程造价，努力降低工程费用。</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.13及时提供完整的监理资料，定期编制监理简报。</w:t>
      </w:r>
    </w:p>
    <w:p>
      <w:pPr>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.14履行其他法律、法规规定的监理职责义务，进行报建及提供其他可免费提供的监理服务。</w:t>
      </w:r>
    </w:p>
    <w:p>
      <w:pPr>
        <w:spacing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.15协助业主组织进行交工验收及竣工验收。</w:t>
      </w:r>
    </w:p>
    <w:p>
      <w:pPr>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.16完成监理规范要求的其他工作内容。</w:t>
      </w:r>
    </w:p>
    <w:p>
      <w:pPr>
        <w:ind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：服务质量达到《建设工程监理规范》（GB/T50319—2013）</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《石油化工建设工程项目监理规范》（SH</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3093-2017）</w:t>
      </w:r>
      <w:r>
        <w:rPr>
          <w:rFonts w:hint="eastAsia" w:ascii="宋体" w:hAnsi="宋体" w:eastAsia="宋体" w:cs="宋体"/>
          <w:color w:val="auto"/>
          <w:sz w:val="21"/>
          <w:szCs w:val="21"/>
          <w:highlight w:val="none"/>
          <w:lang w:eastAsia="zh-CN"/>
        </w:rPr>
        <w:t xml:space="preserve">等国家现行有关法规要求。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1.10</w:t>
      </w:r>
      <w:r>
        <w:rPr>
          <w:rFonts w:hint="eastAsia" w:ascii="宋体" w:hAnsi="宋体" w:eastAsia="宋体" w:cs="宋体"/>
          <w:color w:val="auto"/>
          <w:sz w:val="21"/>
          <w:szCs w:val="21"/>
          <w:highlight w:val="none"/>
          <w:lang w:eastAsia="zh-CN"/>
        </w:rPr>
        <w:t>监理工作要求：</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（1）质量控制目标：达到强制性质量标准，满足国家现行有关施工质量验收规范要求并验收合格。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（2）造价控制目标：控制在概算批复内，无超前支付发生，严格控制工程变更。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（3）进度控制目标：督促施工单位采用合理的施工工艺和工序按期完工。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（4）合同管理：正确处理项目有关的合同索赔和合同纠纷。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（5）信息管理：对项目施工阶段的信息进行收集、整理和保管，保证过程中重要环节的可追溯性。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 协调管理： 对工程建设相关方的关系进行协调。  </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（7）安全生产履职：履行建设工程安全生产管理法定的监理职责。 </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kern w:val="2"/>
          <w:sz w:val="21"/>
          <w:szCs w:val="21"/>
          <w:highlight w:val="none"/>
          <w:lang w:val="en-US" w:eastAsia="zh-CN" w:bidi="ar-SA"/>
        </w:rPr>
        <w:t>监理资料编制按照《石油化工建设工程项目监理规范》（SH</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3093-2017）或《建设工程监理规范》（GB</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T 50319-2013）要求进行编制和提供</w:t>
      </w:r>
    </w:p>
    <w:p>
      <w:pP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rPr>
        <w:t>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w:t>
      </w:r>
    </w:p>
    <w:p>
      <w:pPr>
        <w:pStyle w:val="5"/>
        <w:spacing w:line="520" w:lineRule="exact"/>
        <w:ind w:firstLine="527"/>
        <w:rPr>
          <w:rFonts w:hint="eastAsia" w:ascii="宋体" w:hAnsi="宋体" w:eastAsia="宋体" w:cs="宋体"/>
          <w:color w:val="auto"/>
          <w:sz w:val="21"/>
          <w:szCs w:val="21"/>
          <w:highlight w:val="none"/>
          <w:lang w:val="en-US"/>
        </w:rPr>
      </w:pPr>
      <w:bookmarkStart w:id="7" w:name="_Toc528763930"/>
      <w:bookmarkStart w:id="8" w:name="_Toc497753430"/>
      <w:bookmarkStart w:id="9" w:name="_Toc528759940"/>
      <w:bookmarkStart w:id="10" w:name="_Toc7810"/>
      <w:r>
        <w:rPr>
          <w:rFonts w:hint="eastAsia" w:ascii="宋体" w:hAnsi="宋体" w:eastAsia="宋体" w:cs="宋体"/>
          <w:color w:val="auto"/>
          <w:sz w:val="21"/>
          <w:szCs w:val="21"/>
          <w:highlight w:val="none"/>
        </w:rPr>
        <w:t>二、</w:t>
      </w:r>
      <w:bookmarkEnd w:id="7"/>
      <w:bookmarkEnd w:id="8"/>
      <w:bookmarkEnd w:id="9"/>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资格条件</w:t>
      </w:r>
      <w:bookmarkEnd w:id="10"/>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w:t>
      </w:r>
      <w:r>
        <w:rPr>
          <w:rFonts w:hint="eastAsia" w:ascii="宋体" w:hAnsi="宋体" w:eastAsia="宋体" w:cs="宋体"/>
          <w:color w:val="auto"/>
          <w:sz w:val="21"/>
          <w:szCs w:val="21"/>
          <w:highlight w:val="none"/>
        </w:rPr>
        <w:t>具备有效的营业执照。</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提供有效的营业执照复印件加盖供应商公章</w:t>
      </w:r>
      <w:r>
        <w:rPr>
          <w:rFonts w:hint="eastAsia" w:ascii="宋体" w:hAnsi="宋体" w:eastAsia="宋体" w:cs="宋体"/>
          <w:b/>
          <w:bCs/>
          <w:color w:val="auto"/>
          <w:sz w:val="21"/>
          <w:szCs w:val="21"/>
          <w:highlight w:val="none"/>
          <w:lang w:eastAsia="zh-CN"/>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 xml:space="preserve">具备以下资质条件之一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①建设行政主管部门颁发的工程监理综合资质；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②建设行政主管部门颁发的房屋建筑工程监理</w:t>
      </w: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 xml:space="preserve">资质； </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（提供有效的资质证书复印件加盖供应商公章）。</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3、总监理工程师资格要求  </w:t>
      </w:r>
    </w:p>
    <w:p>
      <w:pPr>
        <w:snapToGrid w:val="0"/>
        <w:spacing w:line="5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3.1总监理工程师 1 人， 为供应商本单位在职人员，具备建设行政主管部门颁发的监理工程师注册执业证书 （注册专业为房屋建筑） 并在供应商本单位注册执业。 </w:t>
      </w:r>
    </w:p>
    <w:p>
      <w:pP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须提供拟派总监理工程师</w:t>
      </w:r>
      <w:r>
        <w:rPr>
          <w:rFonts w:hint="eastAsia" w:ascii="宋体" w:hAnsi="宋体" w:eastAsia="宋体" w:cs="宋体"/>
          <w:b/>
          <w:bCs/>
          <w:color w:val="auto"/>
          <w:sz w:val="21"/>
          <w:szCs w:val="21"/>
          <w:highlight w:val="none"/>
          <w:u w:val="none"/>
          <w:lang w:val="en-US" w:eastAsia="zh-CN"/>
        </w:rPr>
        <w:t>有效的</w:t>
      </w:r>
      <w:r>
        <w:rPr>
          <w:rFonts w:hint="eastAsia" w:ascii="宋体" w:hAnsi="宋体" w:eastAsia="宋体" w:cs="宋体"/>
          <w:b/>
          <w:bCs/>
          <w:color w:val="auto"/>
          <w:sz w:val="21"/>
          <w:szCs w:val="21"/>
          <w:highlight w:val="none"/>
          <w:u w:val="none"/>
        </w:rPr>
        <w:t>身份证、</w:t>
      </w:r>
      <w:r>
        <w:rPr>
          <w:rFonts w:hint="eastAsia" w:ascii="宋体" w:hAnsi="宋体" w:eastAsia="宋体" w:cs="宋体"/>
          <w:b/>
          <w:bCs/>
          <w:color w:val="auto"/>
          <w:sz w:val="21"/>
          <w:szCs w:val="21"/>
          <w:highlight w:val="none"/>
          <w:lang w:val="en-US" w:eastAsia="zh-CN"/>
        </w:rPr>
        <w:t>监理工程师注册证书复印件加盖供应商公章）</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3.2供应商</w:t>
      </w:r>
      <w:r>
        <w:rPr>
          <w:rFonts w:hint="eastAsia" w:ascii="宋体" w:hAnsi="宋体" w:eastAsia="宋体" w:cs="宋体"/>
          <w:color w:val="auto"/>
          <w:sz w:val="21"/>
          <w:szCs w:val="21"/>
          <w:highlight w:val="none"/>
        </w:rPr>
        <w:t>须承诺拟派</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后在本项目</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履职，签订合同时拟派的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一致，并满足办理相关手续的要求。不能按承诺</w:t>
      </w:r>
      <w:r>
        <w:rPr>
          <w:rFonts w:hint="eastAsia" w:ascii="宋体" w:hAnsi="宋体" w:eastAsia="宋体" w:cs="宋体"/>
          <w:color w:val="auto"/>
          <w:sz w:val="21"/>
          <w:szCs w:val="21"/>
          <w:highlight w:val="none"/>
          <w:lang w:val="en-US" w:eastAsia="zh-CN"/>
        </w:rPr>
        <w:t>到岗</w:t>
      </w:r>
      <w:r>
        <w:rPr>
          <w:rFonts w:hint="eastAsia" w:ascii="宋体" w:hAnsi="宋体" w:eastAsia="宋体" w:cs="宋体"/>
          <w:color w:val="auto"/>
          <w:sz w:val="21"/>
          <w:szCs w:val="21"/>
          <w:highlight w:val="none"/>
        </w:rPr>
        <w:t>履职的，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w:t>
      </w:r>
      <w:r>
        <w:rPr>
          <w:rFonts w:hint="eastAsia" w:ascii="宋体" w:hAnsi="宋体" w:eastAsia="宋体" w:cs="宋体"/>
          <w:color w:val="auto"/>
          <w:sz w:val="21"/>
          <w:szCs w:val="21"/>
          <w:highlight w:val="none"/>
        </w:rPr>
        <w:t>承诺要求：承诺拟派</w:t>
      </w:r>
      <w:r>
        <w:rPr>
          <w:rFonts w:hint="eastAsia" w:ascii="宋体" w:hAnsi="宋体" w:eastAsia="宋体" w:cs="宋体"/>
          <w:color w:val="auto"/>
          <w:sz w:val="21"/>
          <w:szCs w:val="21"/>
          <w:highlight w:val="none"/>
          <w:lang w:val="en-US" w:eastAsia="zh-CN"/>
        </w:rPr>
        <w:t>总监理工程师</w:t>
      </w:r>
      <w:r>
        <w:rPr>
          <w:rFonts w:hint="eastAsia" w:ascii="宋体" w:hAnsi="宋体" w:eastAsia="宋体" w:cs="宋体"/>
          <w:color w:val="auto"/>
          <w:sz w:val="21"/>
          <w:szCs w:val="21"/>
          <w:highlight w:val="none"/>
        </w:rPr>
        <w:t>未被重庆市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含市或任意区县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行政</w:t>
      </w:r>
      <w:r>
        <w:rPr>
          <w:rFonts w:hint="eastAsia" w:ascii="宋体" w:hAnsi="宋体" w:eastAsia="宋体" w:cs="宋体"/>
          <w:color w:val="auto"/>
          <w:sz w:val="21"/>
          <w:szCs w:val="21"/>
          <w:highlight w:val="none"/>
        </w:rPr>
        <w:t>部门</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。若被</w:t>
      </w:r>
      <w:r>
        <w:rPr>
          <w:rFonts w:hint="eastAsia" w:ascii="宋体" w:hAnsi="宋体" w:eastAsia="宋体" w:cs="宋体"/>
          <w:color w:val="auto"/>
          <w:sz w:val="21"/>
          <w:szCs w:val="21"/>
          <w:highlight w:val="none"/>
          <w:lang w:val="en-US" w:eastAsia="zh-CN"/>
        </w:rPr>
        <w:t>取消（或暂停）投标资格或禁止从业</w:t>
      </w:r>
      <w:r>
        <w:rPr>
          <w:rFonts w:hint="eastAsia" w:ascii="宋体" w:hAnsi="宋体" w:eastAsia="宋体" w:cs="宋体"/>
          <w:color w:val="auto"/>
          <w:sz w:val="21"/>
          <w:szCs w:val="21"/>
          <w:highlight w:val="none"/>
        </w:rPr>
        <w:t>但仍参加投标，将被否决投标；已取得</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候选人资格或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依法承担违约责任或赔偿责任。</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w:t>
      </w:r>
      <w:r>
        <w:rPr>
          <w:rFonts w:hint="eastAsia" w:ascii="宋体" w:hAnsi="宋体" w:eastAsia="宋体" w:cs="宋体"/>
          <w:color w:val="auto"/>
          <w:sz w:val="21"/>
          <w:szCs w:val="21"/>
          <w:highlight w:val="none"/>
          <w:lang w:val="en-US" w:eastAsia="zh-CN"/>
        </w:rPr>
        <w:t>总监理工程师到岗</w:t>
      </w:r>
      <w:r>
        <w:rPr>
          <w:rFonts w:hint="eastAsia" w:ascii="宋体" w:hAnsi="宋体" w:eastAsia="宋体" w:cs="宋体"/>
          <w:color w:val="auto"/>
          <w:sz w:val="21"/>
          <w:szCs w:val="21"/>
          <w:highlight w:val="none"/>
        </w:rPr>
        <w:t>履职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未被</w:t>
      </w:r>
      <w:r>
        <w:rPr>
          <w:rFonts w:hint="eastAsia" w:ascii="宋体" w:hAnsi="宋体" w:eastAsia="宋体" w:cs="宋体"/>
          <w:color w:val="auto"/>
          <w:sz w:val="21"/>
          <w:szCs w:val="21"/>
          <w:highlight w:val="none"/>
          <w:lang w:val="en-US" w:eastAsia="zh-CN"/>
        </w:rPr>
        <w:t>取消（或暂停）</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资格和未被禁止从业的</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格式见报价文件格式</w:t>
      </w:r>
      <w:r>
        <w:rPr>
          <w:rFonts w:hint="eastAsia" w:ascii="宋体" w:hAnsi="宋体" w:eastAsia="宋体" w:cs="宋体"/>
          <w:color w:val="auto"/>
          <w:sz w:val="21"/>
          <w:szCs w:val="21"/>
          <w:highlight w:val="none"/>
          <w:lang w:eastAsia="zh-CN"/>
        </w:rPr>
        <w:t>）。</w:t>
      </w:r>
    </w:p>
    <w:p>
      <w:pPr>
        <w:autoSpaceDE w:val="0"/>
        <w:autoSpaceDN w:val="0"/>
        <w:adjustRightInd w:val="0"/>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.其他主要人员要求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.1专业监理工程师</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拟派的专业监理工程师到岗履职，承诺拟派的专业监理工程师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后只在本项目任职，签订合同时拟派的专业监理工程师必须与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中的专业监理工程师一致，并满足办理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按合同相关条款</w:t>
      </w:r>
      <w:r>
        <w:rPr>
          <w:rFonts w:hint="eastAsia" w:ascii="宋体" w:hAnsi="宋体" w:eastAsia="宋体" w:cs="宋体"/>
          <w:color w:val="auto"/>
          <w:sz w:val="21"/>
          <w:szCs w:val="21"/>
          <w:highlight w:val="none"/>
          <w:lang w:val="en-US" w:eastAsia="zh-CN"/>
        </w:rPr>
        <w:t>要求供应商承担责任</w:t>
      </w:r>
      <w:r>
        <w:rPr>
          <w:rFonts w:hint="eastAsia" w:ascii="宋体" w:hAnsi="宋体" w:eastAsia="宋体" w:cs="宋体"/>
          <w:color w:val="auto"/>
          <w:sz w:val="21"/>
          <w:szCs w:val="21"/>
          <w:highlight w:val="none"/>
        </w:rPr>
        <w:t>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w:t>
      </w:r>
      <w:r>
        <w:rPr>
          <w:rFonts w:hint="eastAsia" w:ascii="宋体" w:hAnsi="宋体" w:eastAsia="宋体" w:cs="宋体"/>
          <w:color w:val="auto"/>
          <w:sz w:val="21"/>
          <w:szCs w:val="21"/>
          <w:highlight w:val="none"/>
          <w:lang w:val="en-US" w:eastAsia="zh-CN"/>
        </w:rPr>
        <w:t>其报价文件将被否决</w:t>
      </w:r>
      <w:r>
        <w:rPr>
          <w:rFonts w:hint="eastAsia" w:ascii="宋体" w:hAnsi="宋体" w:eastAsia="宋体" w:cs="宋体"/>
          <w:color w:val="auto"/>
          <w:sz w:val="21"/>
          <w:szCs w:val="21"/>
          <w:highlight w:val="none"/>
        </w:rPr>
        <w:t>。拟派专业监理工程师</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建筑工程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本单位在职人员，具备</w:t>
      </w:r>
      <w:r>
        <w:rPr>
          <w:rFonts w:hint="eastAsia" w:ascii="宋体" w:hAnsi="宋体" w:eastAsia="宋体" w:cs="宋体"/>
          <w:color w:val="auto"/>
          <w:sz w:val="21"/>
          <w:szCs w:val="21"/>
          <w:highlight w:val="none"/>
          <w:u w:val="single"/>
          <w:lang w:val="en-US" w:eastAsia="zh-CN"/>
        </w:rPr>
        <w:t xml:space="preserve">   房屋建筑   </w:t>
      </w:r>
      <w:r>
        <w:rPr>
          <w:rFonts w:hint="eastAsia" w:ascii="宋体" w:hAnsi="宋体" w:eastAsia="宋体" w:cs="宋体"/>
          <w:color w:val="auto"/>
          <w:sz w:val="21"/>
          <w:szCs w:val="21"/>
          <w:highlight w:val="none"/>
          <w:u w:val="none"/>
          <w:lang w:val="en-US" w:eastAsia="zh-CN"/>
        </w:rPr>
        <w:t>专业监理工程师资格。</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资格审查部分提供拟派专业监理工程师</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w:t>
      </w:r>
      <w:r>
        <w:rPr>
          <w:rFonts w:hint="eastAsia" w:ascii="宋体" w:hAnsi="宋体" w:eastAsia="宋体" w:cs="宋体"/>
          <w:color w:val="auto"/>
          <w:sz w:val="21"/>
          <w:szCs w:val="21"/>
          <w:highlight w:val="none"/>
          <w:lang w:val="en-US" w:eastAsia="zh-CN"/>
        </w:rPr>
        <w:t>、监理工程师注册证书</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u w:val="none"/>
          <w:lang w:val="en-US"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.2监理员</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拟派的监理员到岗履职，承诺拟派的监理员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后只在本项目任职，签订合同时拟派的监理员必须与</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中的监理员一致，并满足办理</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手续的相关要求。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后不能满足该要求的，</w:t>
      </w:r>
      <w:r>
        <w:rPr>
          <w:rFonts w:hint="eastAsia" w:ascii="宋体" w:hAnsi="宋体" w:eastAsia="宋体" w:cs="宋体"/>
          <w:color w:val="auto"/>
          <w:sz w:val="21"/>
          <w:szCs w:val="21"/>
          <w:highlight w:val="none"/>
          <w:lang w:val="en-US" w:eastAsia="zh-CN"/>
        </w:rPr>
        <w:t>采购人可</w:t>
      </w:r>
      <w:r>
        <w:rPr>
          <w:rFonts w:hint="eastAsia" w:ascii="宋体" w:hAnsi="宋体" w:eastAsia="宋体" w:cs="宋体"/>
          <w:color w:val="auto"/>
          <w:sz w:val="21"/>
          <w:szCs w:val="21"/>
          <w:highlight w:val="none"/>
        </w:rPr>
        <w:t>取消其</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资格；签订合同后不满足该要求的，按合同相关条款处罚并上报</w:t>
      </w:r>
      <w:r>
        <w:rPr>
          <w:rFonts w:hint="eastAsia" w:ascii="宋体" w:hAnsi="宋体" w:eastAsia="宋体" w:cs="宋体"/>
          <w:color w:val="auto"/>
          <w:sz w:val="21"/>
          <w:szCs w:val="21"/>
          <w:highlight w:val="none"/>
          <w:lang w:val="en-US" w:eastAsia="zh-CN"/>
        </w:rPr>
        <w:t>有关行政</w:t>
      </w:r>
      <w:r>
        <w:rPr>
          <w:rFonts w:hint="eastAsia" w:ascii="宋体" w:hAnsi="宋体" w:eastAsia="宋体" w:cs="宋体"/>
          <w:color w:val="auto"/>
          <w:sz w:val="21"/>
          <w:szCs w:val="21"/>
          <w:highlight w:val="none"/>
        </w:rPr>
        <w:t>部门；给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依法承担赔偿责任或违约责任。未提供上述承诺或承诺内容不符合要求的，由评标委员会作否决投标处理。拟派监理员</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后不得随意更换。</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建筑工程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岗位</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监理员</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本单位在职人员</w:t>
      </w:r>
      <w:r>
        <w:rPr>
          <w:rFonts w:hint="eastAsia" w:ascii="宋体" w:hAnsi="宋体" w:eastAsia="宋体" w:cs="宋体"/>
          <w:color w:val="auto"/>
          <w:sz w:val="21"/>
          <w:szCs w:val="21"/>
          <w:highlight w:val="none"/>
          <w:lang w:eastAsia="zh-CN"/>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须在</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资格审查部分提供拟派监理员</w:t>
      </w:r>
      <w:r>
        <w:rPr>
          <w:rFonts w:hint="eastAsia" w:ascii="宋体" w:hAnsi="宋体" w:eastAsia="宋体" w:cs="宋体"/>
          <w:color w:val="auto"/>
          <w:sz w:val="21"/>
          <w:szCs w:val="21"/>
          <w:highlight w:val="none"/>
          <w:u w:val="none"/>
          <w:lang w:val="en-US" w:eastAsia="zh-CN"/>
        </w:rPr>
        <w:t>有效的</w:t>
      </w:r>
      <w:r>
        <w:rPr>
          <w:rFonts w:hint="eastAsia" w:ascii="宋体" w:hAnsi="宋体" w:eastAsia="宋体" w:cs="宋体"/>
          <w:color w:val="auto"/>
          <w:sz w:val="21"/>
          <w:szCs w:val="21"/>
          <w:highlight w:val="none"/>
          <w:u w:val="none"/>
        </w:rPr>
        <w:t>身份证、承诺</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报价文件</w:t>
      </w:r>
      <w:r>
        <w:rPr>
          <w:rFonts w:hint="eastAsia" w:ascii="宋体" w:hAnsi="宋体" w:eastAsia="宋体" w:cs="宋体"/>
          <w:color w:val="auto"/>
          <w:sz w:val="21"/>
          <w:szCs w:val="21"/>
          <w:highlight w:val="none"/>
        </w:rPr>
        <w:t>格式）。</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报价截止日投标资格情况不存在下列情形之一，由供应商自行承诺：</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5.1被人民法院列入失信被执行人名单且在被执行期内；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5.4被国家、重庆市（含市或任意区县）有关行政部门处以取消（或暂停）投标资格处罚或禁止从业处罚或暂停在渝承揽新业务处罚，且在处罚期限内。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供应商须在报价文件资格审查部分提供承诺（格式见 报价文件格式）。</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本项目不接受联合体响应。</w:t>
      </w:r>
    </w:p>
    <w:p>
      <w:pPr>
        <w:pStyle w:val="5"/>
        <w:spacing w:line="520" w:lineRule="exact"/>
        <w:ind w:firstLine="527"/>
        <w:rPr>
          <w:rFonts w:hint="eastAsia" w:ascii="宋体" w:hAnsi="宋体" w:eastAsia="宋体" w:cs="宋体"/>
          <w:color w:val="auto"/>
          <w:sz w:val="21"/>
          <w:szCs w:val="21"/>
          <w:highlight w:val="none"/>
          <w:lang w:eastAsia="zh-CN"/>
        </w:rPr>
      </w:pPr>
      <w:bookmarkStart w:id="11" w:name="_Toc528763931"/>
      <w:bookmarkStart w:id="12" w:name="_Toc102227317"/>
      <w:bookmarkStart w:id="13" w:name="_Toc179714296"/>
      <w:bookmarkStart w:id="14" w:name="_Toc497753431"/>
      <w:bookmarkStart w:id="15" w:name="_Toc187655629"/>
      <w:bookmarkStart w:id="16" w:name="_Toc528759941"/>
      <w:bookmarkStart w:id="17" w:name="_Toc20328"/>
      <w:r>
        <w:rPr>
          <w:rFonts w:hint="eastAsia" w:ascii="宋体" w:hAnsi="宋体" w:eastAsia="宋体" w:cs="宋体"/>
          <w:color w:val="auto"/>
          <w:sz w:val="21"/>
          <w:szCs w:val="21"/>
          <w:highlight w:val="none"/>
        </w:rPr>
        <w:t>三、</w:t>
      </w:r>
      <w:bookmarkEnd w:id="11"/>
      <w:bookmarkEnd w:id="12"/>
      <w:bookmarkEnd w:id="13"/>
      <w:bookmarkEnd w:id="14"/>
      <w:bookmarkEnd w:id="15"/>
      <w:bookmarkEnd w:id="16"/>
      <w:r>
        <w:rPr>
          <w:rFonts w:hint="eastAsia" w:ascii="宋体" w:hAnsi="宋体" w:eastAsia="宋体" w:cs="宋体"/>
          <w:color w:val="auto"/>
          <w:sz w:val="21"/>
          <w:szCs w:val="21"/>
          <w:highlight w:val="none"/>
          <w:lang w:eastAsia="zh-CN"/>
        </w:rPr>
        <w:t>询价文件</w:t>
      </w:r>
      <w:bookmarkEnd w:id="17"/>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由询价采购邀请书、</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须知、采购项目名称数量及技术要求、商务要求和响应文件格式要求六部分组成。</w:t>
      </w:r>
    </w:p>
    <w:p>
      <w:pPr>
        <w:snapToGrid w:val="0"/>
        <w:spacing w:line="520" w:lineRule="exact"/>
        <w:ind w:firstLine="5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2、对已发出的</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进行必要的澄清或者修改，澄清或者修改的内容作为</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的组成部分。</w:t>
      </w:r>
    </w:p>
    <w:p>
      <w:pPr>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的解释</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如对</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有疑问，必须以书面形式在报价截止时间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个工作日前向</w:t>
      </w:r>
      <w:r>
        <w:rPr>
          <w:rFonts w:hint="eastAsia" w:ascii="宋体" w:hAnsi="宋体" w:eastAsia="宋体" w:cs="宋体"/>
          <w:color w:val="auto"/>
          <w:sz w:val="21"/>
          <w:szCs w:val="21"/>
          <w:highlight w:val="none"/>
          <w:lang w:val="en-US" w:eastAsia="zh-CN"/>
        </w:rPr>
        <w:t>采购人或采购代理机构</w:t>
      </w:r>
      <w:r>
        <w:rPr>
          <w:rFonts w:hint="eastAsia" w:ascii="宋体" w:hAnsi="宋体" w:eastAsia="宋体" w:cs="宋体"/>
          <w:color w:val="auto"/>
          <w:sz w:val="21"/>
          <w:szCs w:val="21"/>
          <w:highlight w:val="none"/>
        </w:rPr>
        <w:t>要求澄清，</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可视具体情况做出处理或答复。如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未提出疑问，视为完全理解并同意本</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，即</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已详细阅读全部文件资料，完全理解</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所有条款内容并同意放弃对这方面有不明白及误解的权利。</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4、询价有效期:90天。</w:t>
      </w:r>
    </w:p>
    <w:p>
      <w:pPr>
        <w:pStyle w:val="5"/>
        <w:spacing w:line="520" w:lineRule="exact"/>
        <w:ind w:firstLine="527"/>
        <w:rPr>
          <w:rFonts w:hint="eastAsia" w:ascii="宋体" w:hAnsi="宋体" w:eastAsia="宋体" w:cs="宋体"/>
          <w:color w:val="auto"/>
          <w:sz w:val="21"/>
          <w:szCs w:val="21"/>
          <w:highlight w:val="none"/>
        </w:rPr>
      </w:pPr>
      <w:bookmarkStart w:id="18" w:name="_Toc528759942"/>
      <w:bookmarkStart w:id="19" w:name="_Toc528763932"/>
      <w:bookmarkStart w:id="20" w:name="_Toc497753432"/>
      <w:bookmarkStart w:id="21" w:name="_Toc1796"/>
      <w:r>
        <w:rPr>
          <w:rFonts w:hint="eastAsia" w:ascii="宋体" w:hAnsi="宋体" w:eastAsia="宋体" w:cs="宋体"/>
          <w:color w:val="auto"/>
          <w:sz w:val="21"/>
          <w:szCs w:val="21"/>
          <w:highlight w:val="none"/>
        </w:rPr>
        <w:t>四、报价要求</w:t>
      </w:r>
      <w:bookmarkEnd w:id="18"/>
      <w:bookmarkEnd w:id="19"/>
      <w:bookmarkEnd w:id="20"/>
      <w:bookmarkEnd w:id="21"/>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1、响应文件由以下部分组成（网上询价采购不需要制作书面响应文件，只有在网络故障或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另有需要时才会要求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提供书面响应文件。下同），包括：</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1）、提供营业执照复印件。</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2）、资质证书。</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3）、拟委任的主要人员汇总表。</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4）、主要人员简历表。</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5）、承诺</w:t>
      </w:r>
    </w:p>
    <w:p>
      <w:pPr>
        <w:snapToGrid w:val="0"/>
        <w:spacing w:line="5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6）、其他</w:t>
      </w:r>
    </w:p>
    <w:p>
      <w:pPr>
        <w:snapToGrid w:val="0"/>
        <w:spacing w:line="5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2、提交响应文件的</w:t>
      </w:r>
      <w:r>
        <w:rPr>
          <w:rFonts w:hint="eastAsia" w:ascii="宋体" w:hAnsi="宋体" w:eastAsia="宋体" w:cs="宋体"/>
          <w:color w:val="auto"/>
          <w:sz w:val="21"/>
          <w:szCs w:val="21"/>
          <w:highlight w:val="none"/>
          <w:lang w:val="en-US" w:eastAsia="zh-CN"/>
        </w:rPr>
        <w:t>要求</w:t>
      </w:r>
    </w:p>
    <w:p>
      <w:pPr>
        <w:snapToGrid w:val="0"/>
        <w:spacing w:line="52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（1）响应文件PDF</w:t>
      </w:r>
      <w:r>
        <w:rPr>
          <w:rFonts w:hint="eastAsia" w:ascii="宋体" w:hAnsi="宋体" w:eastAsia="宋体" w:cs="宋体"/>
          <w:color w:val="auto"/>
          <w:sz w:val="21"/>
          <w:szCs w:val="21"/>
          <w:highlight w:val="none"/>
          <w:lang w:val="en-US" w:eastAsia="zh-CN"/>
        </w:rPr>
        <w:t>文件一份，加盖投标人公章</w:t>
      </w:r>
      <w:r>
        <w:rPr>
          <w:rFonts w:hint="eastAsia" w:ascii="宋体" w:hAnsi="宋体" w:eastAsia="宋体" w:cs="宋体"/>
          <w:color w:val="auto"/>
          <w:sz w:val="21"/>
          <w:szCs w:val="21"/>
          <w:highlight w:val="none"/>
        </w:rPr>
        <w:t>。</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、询价保证金：</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保证金金额：</w:t>
      </w:r>
      <w:r>
        <w:rPr>
          <w:rFonts w:hint="eastAsia" w:ascii="宋体" w:hAnsi="宋体" w:eastAsia="宋体" w:cs="宋体"/>
          <w:b/>
          <w:bCs/>
          <w:color w:val="auto"/>
          <w:sz w:val="21"/>
          <w:szCs w:val="21"/>
          <w:highlight w:val="none"/>
          <w:lang w:val="en-US" w:eastAsia="zh-CN"/>
        </w:rPr>
        <w:t>1万</w:t>
      </w:r>
      <w:r>
        <w:rPr>
          <w:rFonts w:hint="eastAsia" w:ascii="宋体" w:hAnsi="宋体" w:eastAsia="宋体" w:cs="宋体"/>
          <w:b/>
          <w:bCs/>
          <w:color w:val="auto"/>
          <w:sz w:val="21"/>
          <w:szCs w:val="21"/>
          <w:highlight w:val="none"/>
        </w:rPr>
        <w:t>元。</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询价保证金的形式：电汇或银行转帐，</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可任选一种；</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提交时间和方式：询价保证金转（汇）入</w:t>
      </w:r>
      <w:r>
        <w:rPr>
          <w:rFonts w:hint="eastAsia" w:ascii="宋体" w:hAnsi="宋体" w:eastAsia="宋体" w:cs="宋体"/>
          <w:b/>
          <w:bCs/>
          <w:color w:val="auto"/>
          <w:sz w:val="21"/>
          <w:szCs w:val="21"/>
          <w:highlight w:val="none"/>
          <w:lang w:eastAsia="zh-CN"/>
        </w:rPr>
        <w:t>重庆国际投资咨询集团有限公司</w:t>
      </w:r>
      <w:r>
        <w:rPr>
          <w:rFonts w:hint="eastAsia" w:ascii="宋体" w:hAnsi="宋体" w:eastAsia="宋体" w:cs="宋体"/>
          <w:b/>
          <w:bCs/>
          <w:color w:val="auto"/>
          <w:sz w:val="21"/>
          <w:szCs w:val="21"/>
          <w:highlight w:val="none"/>
        </w:rPr>
        <w:t>的银行账户，其转（汇）款到账截止时间为202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 xml:space="preserve"> 月</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日1</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时00分前）。</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其保证金账户账号：</w:t>
      </w:r>
    </w:p>
    <w:p>
      <w:pPr>
        <w:snapToGrid w:val="0"/>
        <w:spacing w:line="520" w:lineRule="exact"/>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开户单位：</w:t>
      </w:r>
      <w:r>
        <w:rPr>
          <w:rFonts w:hint="eastAsia" w:ascii="宋体" w:hAnsi="宋体" w:eastAsia="宋体" w:cs="宋体"/>
          <w:b/>
          <w:bCs/>
          <w:color w:val="auto"/>
          <w:sz w:val="21"/>
          <w:szCs w:val="21"/>
          <w:highlight w:val="none"/>
          <w:lang w:eastAsia="zh-CN"/>
        </w:rPr>
        <w:t>重庆国际投资咨询集团有限公司</w:t>
      </w:r>
    </w:p>
    <w:p>
      <w:pPr>
        <w:snapToGrid w:val="0"/>
        <w:spacing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开户银行：</w:t>
      </w:r>
      <w:r>
        <w:rPr>
          <w:rFonts w:hint="eastAsia" w:ascii="宋体" w:hAnsi="宋体" w:eastAsia="宋体" w:cs="宋体"/>
          <w:b/>
          <w:bCs/>
          <w:color w:val="auto"/>
          <w:sz w:val="21"/>
          <w:szCs w:val="21"/>
          <w:highlight w:val="none"/>
          <w:lang w:eastAsia="zh-CN"/>
        </w:rPr>
        <w:t>兴业银行重庆分行营业部</w:t>
      </w:r>
    </w:p>
    <w:p>
      <w:pPr>
        <w:snapToGrid w:val="0"/>
        <w:spacing w:line="5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帐    号：  346010100105300879010153           </w:t>
      </w:r>
      <w:r>
        <w:rPr>
          <w:rFonts w:hint="eastAsia" w:ascii="宋体" w:hAnsi="宋体" w:eastAsia="宋体" w:cs="宋体"/>
          <w:color w:val="auto"/>
          <w:sz w:val="21"/>
          <w:szCs w:val="21"/>
          <w:highlight w:val="none"/>
        </w:rPr>
        <w:t xml:space="preserve">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询价保证金应在询价有效期截止日后90天内有效。</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特别提示：请</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务必详细阅读下列条款！！！</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在银行转账（电汇）询价保证金时，须充分考虑银行转账（电汇）的时间差风险，如同城转账、异地转账或汇款、跨行转账或电汇的时间要求，未在本比选文件规定的截止时间前到账的，当众退还其询价文件；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2)保证金退还：未成为中选候选人的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，其询价保证金在中选结果通知后，且无异议的3个工作日内，予以全额退还；中选候选人的询价保证金，在本项目合同签订后5个工作日内，全额退还。</w:t>
      </w:r>
    </w:p>
    <w:p>
      <w:pPr>
        <w:snapToGrid w:val="0"/>
        <w:spacing w:line="5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）保证金咨询电话67703002</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、采购代理服务费：</w:t>
      </w:r>
      <w:r>
        <w:rPr>
          <w:rFonts w:hint="eastAsia" w:ascii="宋体" w:hAnsi="宋体" w:eastAsia="宋体" w:cs="宋体"/>
          <w:color w:val="auto"/>
          <w:sz w:val="21"/>
          <w:szCs w:val="21"/>
          <w:highlight w:val="none"/>
          <w:lang w:val="en-US" w:eastAsia="zh-CN"/>
        </w:rPr>
        <w:t>1万元包干。</w:t>
      </w:r>
      <w:r>
        <w:rPr>
          <w:rFonts w:hint="eastAsia" w:ascii="宋体" w:hAnsi="宋体" w:eastAsia="宋体" w:cs="宋体"/>
          <w:color w:val="auto"/>
          <w:sz w:val="21"/>
          <w:szCs w:val="21"/>
          <w:highlight w:val="none"/>
        </w:rPr>
        <w:t>成交人在领取成交通知书时，向机构一次性支付代理服务费。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准备和参加询价活动发生的费用自理。各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在询价响应文件报价时应考虑上述费用，此费用不单列。</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、响应文件的递交</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响应文件投递截止时间：参阅询价采购邀请书。</w:t>
      </w:r>
    </w:p>
    <w:p>
      <w:pPr>
        <w:pStyle w:val="5"/>
        <w:spacing w:line="520" w:lineRule="exact"/>
        <w:ind w:firstLine="527"/>
        <w:rPr>
          <w:rFonts w:hint="eastAsia" w:ascii="宋体" w:hAnsi="宋体" w:eastAsia="宋体" w:cs="宋体"/>
          <w:color w:val="auto"/>
          <w:sz w:val="21"/>
          <w:szCs w:val="21"/>
          <w:highlight w:val="none"/>
        </w:rPr>
      </w:pPr>
      <w:bookmarkStart w:id="22" w:name="_Toc528763933"/>
      <w:bookmarkStart w:id="23" w:name="_Toc3957"/>
      <w:bookmarkStart w:id="24" w:name="_Toc528759943"/>
      <w:bookmarkStart w:id="25" w:name="_Toc509492330"/>
      <w:bookmarkStart w:id="26" w:name="_Toc497753434"/>
      <w:r>
        <w:rPr>
          <w:rFonts w:hint="eastAsia" w:ascii="宋体" w:hAnsi="宋体" w:eastAsia="宋体" w:cs="宋体"/>
          <w:color w:val="auto"/>
          <w:sz w:val="21"/>
          <w:szCs w:val="21"/>
          <w:highlight w:val="none"/>
        </w:rPr>
        <w:t>五、响应报价</w:t>
      </w:r>
      <w:bookmarkEnd w:id="22"/>
      <w:bookmarkEnd w:id="23"/>
      <w:bookmarkEnd w:id="24"/>
      <w:bookmarkEnd w:id="25"/>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1.报价原则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本项目建设周期内为固定总价；因监理履职不力原因造成建设延期的不予另外支付监理报酬；建设单位原因造成建设延期，按报酬=附加工作日数*合同报酬／监理服务日。</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监理费总报价应为完成</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 xml:space="preserve">所确定的委托监理的范围和监理业务所需的全部费用（含施工准备阶段、施工阶段及缺陷责任期）。具体包括为实施和完成本项目全部监理工作所需的劳务费、 技术服务费、 设备的使用和管理、检测和试验费用、办公家具、办公设施、通讯工具、通讯费用、生活用房、生活设施及生活费用、办公家具及设施、交通工具、保险、税费、利润及协调费等等实施工程监理所产生的一切费用。 </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 xml:space="preserve">除此以外不支付其它费用，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也不得与本项目的承包商 （包括但不限于工程承包人、分包人、材料供应商、设备租赁商等）发生任何经济关系。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2.现场条件 </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监理单位应根据工程范围内及周边的现有地方路网和现场情况，以及施工期间各路网及交通、 航运变化情况，根据现场考察情况、地勘资料，结合总体平面布置，对施工单位施工过程中的进场道路和施工便道、 栈桥布设、 行车干扰及任何其它相关情况采用相应的监理方法及措施予以控制、协调，相关费用包含在监理费投标总报价中。  </w:t>
      </w:r>
    </w:p>
    <w:p>
      <w:pPr>
        <w:pStyle w:val="5"/>
        <w:spacing w:before="0" w:after="0" w:line="540" w:lineRule="exact"/>
        <w:ind w:left="551"/>
        <w:rPr>
          <w:rFonts w:hint="eastAsia" w:ascii="宋体" w:hAnsi="宋体" w:eastAsia="宋体" w:cs="宋体"/>
          <w:color w:val="auto"/>
          <w:sz w:val="21"/>
          <w:szCs w:val="21"/>
          <w:highlight w:val="none"/>
        </w:rPr>
      </w:pPr>
      <w:bookmarkStart w:id="27" w:name="_Toc32191"/>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履约保证金</w:t>
      </w:r>
      <w:bookmarkEnd w:id="27"/>
    </w:p>
    <w:p>
      <w:pPr>
        <w:pStyle w:val="14"/>
        <w:spacing w:line="400" w:lineRule="exact"/>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履约担保金额：</w:t>
      </w:r>
      <w:r>
        <w:rPr>
          <w:rFonts w:hint="eastAsia" w:ascii="宋体" w:hAnsi="宋体" w:eastAsia="宋体" w:cs="宋体"/>
          <w:color w:val="auto"/>
          <w:sz w:val="21"/>
          <w:szCs w:val="21"/>
          <w:highlight w:val="none"/>
          <w:lang w:val="en-US" w:eastAsia="zh-CN"/>
        </w:rPr>
        <w:t>1万元</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履约担保方式：</w:t>
      </w:r>
      <w:r>
        <w:rPr>
          <w:rFonts w:hint="eastAsia" w:ascii="宋体" w:hAnsi="宋体" w:eastAsia="宋体" w:cs="宋体"/>
          <w:color w:val="auto"/>
          <w:sz w:val="21"/>
          <w:szCs w:val="21"/>
          <w:highlight w:val="none"/>
          <w:lang w:val="en-US" w:eastAsia="zh-CN"/>
        </w:rPr>
        <w:t>银行转账</w:t>
      </w:r>
      <w:r>
        <w:rPr>
          <w:rFonts w:hint="eastAsia" w:ascii="宋体" w:hAnsi="宋体" w:eastAsia="宋体" w:cs="宋体"/>
          <w:color w:val="auto"/>
          <w:sz w:val="21"/>
          <w:szCs w:val="21"/>
          <w:highlight w:val="none"/>
        </w:rPr>
        <w:t>；</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履约担保提交时间：成交商须收到成交通知书后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个工作内提交；</w:t>
      </w:r>
    </w:p>
    <w:p>
      <w:pPr>
        <w:pStyle w:val="14"/>
        <w:spacing w:line="4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履约保证金退还时间：项目进入缺陷责任期之日起7天内退还。</w:t>
      </w:r>
    </w:p>
    <w:p>
      <w:pPr>
        <w:pStyle w:val="2"/>
        <w:rPr>
          <w:rFonts w:hint="eastAsia" w:ascii="宋体" w:hAnsi="宋体" w:eastAsia="宋体" w:cs="宋体"/>
          <w:color w:val="auto"/>
          <w:sz w:val="21"/>
          <w:szCs w:val="21"/>
          <w:highlight w:val="none"/>
          <w:lang w:val="en-US" w:eastAsia="zh-CN"/>
        </w:rPr>
      </w:pPr>
    </w:p>
    <w:p>
      <w:pPr>
        <w:pStyle w:val="5"/>
        <w:spacing w:line="520" w:lineRule="exact"/>
        <w:ind w:firstLine="527"/>
        <w:rPr>
          <w:rFonts w:hint="eastAsia" w:ascii="宋体" w:hAnsi="宋体" w:eastAsia="宋体" w:cs="宋体"/>
          <w:color w:val="auto"/>
          <w:sz w:val="21"/>
          <w:szCs w:val="21"/>
          <w:highlight w:val="none"/>
        </w:rPr>
      </w:pPr>
      <w:bookmarkStart w:id="28" w:name="_Toc7103"/>
      <w:bookmarkStart w:id="29" w:name="_Toc528759944"/>
      <w:bookmarkStart w:id="30" w:name="_Toc528763934"/>
      <w:r>
        <w:rPr>
          <w:rFonts w:hint="eastAsia" w:ascii="宋体" w:hAnsi="宋体" w:eastAsia="宋体" w:cs="宋体"/>
          <w:color w:val="auto"/>
          <w:sz w:val="21"/>
          <w:szCs w:val="21"/>
          <w:highlight w:val="none"/>
        </w:rPr>
        <w:t>六、评审办法</w:t>
      </w:r>
      <w:bookmarkEnd w:id="26"/>
      <w:bookmarkEnd w:id="28"/>
      <w:bookmarkEnd w:id="29"/>
      <w:bookmarkEnd w:id="30"/>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1、评审标准</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的响应文件不得有任一项应答低于</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要求，否则将为无效报价。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2、成交原则</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根据质量和服务均能满足</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实质性要求的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中，按照报价由低到高的顺序提出3名以上成交候选人。其中，报价最低的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p>
    <w:p>
      <w:pPr>
        <w:snapToGrid w:val="0"/>
        <w:spacing w:line="5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若报价最低的</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数量大于或等于2家的，由</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确定</w:t>
      </w:r>
      <w:r>
        <w:rPr>
          <w:rFonts w:hint="eastAsia" w:ascii="宋体" w:hAnsi="宋体" w:eastAsia="宋体" w:cs="宋体"/>
          <w:b/>
          <w:color w:val="auto"/>
          <w:sz w:val="21"/>
          <w:szCs w:val="21"/>
          <w:highlight w:val="none"/>
          <w:lang w:eastAsia="zh-CN"/>
        </w:rPr>
        <w:t>成交供应商</w:t>
      </w:r>
      <w:r>
        <w:rPr>
          <w:rFonts w:hint="eastAsia" w:ascii="宋体" w:hAnsi="宋体" w:eastAsia="宋体" w:cs="宋体"/>
          <w:b/>
          <w:color w:val="auto"/>
          <w:sz w:val="21"/>
          <w:szCs w:val="21"/>
          <w:highlight w:val="none"/>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或其响应文件发生以下条款情况之一者，视为无效报价：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（1）响应文件不按规定的格式、内容填写或不按规定格式签字、盖章。</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要求第三篇承诺</w:t>
      </w:r>
      <w:r>
        <w:rPr>
          <w:rFonts w:hint="eastAsia" w:ascii="宋体" w:hAnsi="宋体" w:eastAsia="宋体" w:cs="宋体"/>
          <w:color w:val="auto"/>
          <w:kern w:val="0"/>
          <w:sz w:val="21"/>
          <w:szCs w:val="21"/>
          <w:highlight w:val="none"/>
        </w:rPr>
        <w:t>采购项目技术要求及服务要求</w:t>
      </w:r>
      <w:r>
        <w:rPr>
          <w:rFonts w:hint="eastAsia" w:ascii="宋体" w:hAnsi="宋体" w:eastAsia="宋体" w:cs="宋体"/>
          <w:color w:val="auto"/>
          <w:kern w:val="0"/>
          <w:sz w:val="21"/>
          <w:szCs w:val="21"/>
          <w:highlight w:val="none"/>
          <w:lang w:val="en-US" w:eastAsia="zh-CN"/>
        </w:rPr>
        <w:t>和第四篇服务要求的</w:t>
      </w:r>
      <w:r>
        <w:rPr>
          <w:rFonts w:hint="eastAsia" w:ascii="宋体" w:hAnsi="宋体" w:eastAsia="宋体" w:cs="宋体"/>
          <w:color w:val="auto"/>
          <w:sz w:val="21"/>
          <w:szCs w:val="21"/>
          <w:highlight w:val="none"/>
        </w:rPr>
        <w:t>。</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的报价超过采购预算或最高限价。</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）出现多个报价或响应方案。</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）不符合本询价文件第二篇第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资质”要求的内容。</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）采购的货物属于协议货物，单价高于限定的协议价格的。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未在规定时间内，按照询价文件要求提交完整的纸质证明材料的。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）响应文件含有与国家现行法律法规相违背的内容，或附有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无法接受的条件。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4、出现下列情形之一的，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应当终止询价采购活动，发布项目终止公告并说明原因，重新开展采购活动：</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（1）因情况变化，不再符合规定的询价采购方式适用情形的；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（3）在采购过程中符合竞争要求的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或者报价未超过采购预算的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不足3家的。</w:t>
      </w:r>
    </w:p>
    <w:p>
      <w:pPr>
        <w:pStyle w:val="5"/>
        <w:spacing w:line="520" w:lineRule="exact"/>
        <w:ind w:firstLine="527"/>
        <w:rPr>
          <w:rFonts w:hint="eastAsia" w:ascii="宋体" w:hAnsi="宋体" w:eastAsia="宋体" w:cs="宋体"/>
          <w:color w:val="auto"/>
          <w:sz w:val="21"/>
          <w:szCs w:val="21"/>
          <w:highlight w:val="none"/>
        </w:rPr>
      </w:pPr>
      <w:bookmarkStart w:id="31" w:name="_Toc187655633"/>
      <w:bookmarkStart w:id="32" w:name="_Toc497753435"/>
      <w:bookmarkStart w:id="33" w:name="_Toc528759945"/>
      <w:bookmarkStart w:id="34" w:name="_Toc18460"/>
      <w:bookmarkStart w:id="35" w:name="_Toc528763935"/>
      <w:bookmarkStart w:id="36" w:name="_Toc102227321"/>
      <w:r>
        <w:rPr>
          <w:rFonts w:hint="eastAsia" w:ascii="宋体" w:hAnsi="宋体" w:eastAsia="宋体" w:cs="宋体"/>
          <w:color w:val="auto"/>
          <w:sz w:val="21"/>
          <w:szCs w:val="21"/>
          <w:highlight w:val="none"/>
        </w:rPr>
        <w:t>七、成交通知</w:t>
      </w:r>
      <w:bookmarkEnd w:id="31"/>
      <w:bookmarkEnd w:id="32"/>
      <w:bookmarkEnd w:id="33"/>
      <w:bookmarkEnd w:id="34"/>
      <w:bookmarkEnd w:id="35"/>
      <w:bookmarkEnd w:id="36"/>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应当在评审结束后2个工作日内将评审结果送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确认。</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应当在收到评审报告后5个工作日内，从评审结果提出的成交候选人中，根据质量和服务均能满足采购文件实质性响应要求且报价最低的原则确定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。以书面形式发出《成交通知书》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《成交通知书》一经发出即发生法律效力。</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、《成交通知书》将作为签订合同的依据。</w:t>
      </w:r>
    </w:p>
    <w:p>
      <w:pPr>
        <w:pStyle w:val="5"/>
        <w:spacing w:line="520" w:lineRule="exact"/>
        <w:ind w:firstLine="527"/>
        <w:rPr>
          <w:rFonts w:hint="eastAsia" w:ascii="宋体" w:hAnsi="宋体" w:eastAsia="宋体" w:cs="宋体"/>
          <w:color w:val="auto"/>
          <w:sz w:val="21"/>
          <w:szCs w:val="21"/>
          <w:highlight w:val="none"/>
        </w:rPr>
      </w:pPr>
      <w:bookmarkStart w:id="37" w:name="_Toc102227322"/>
      <w:bookmarkStart w:id="38" w:name="_Toc497753436"/>
      <w:bookmarkStart w:id="39" w:name="_Toc528763936"/>
      <w:bookmarkStart w:id="40" w:name="_Toc187655634"/>
      <w:bookmarkStart w:id="41" w:name="_Toc11547"/>
      <w:bookmarkStart w:id="42" w:name="_Toc528759946"/>
      <w:r>
        <w:rPr>
          <w:rFonts w:hint="eastAsia" w:ascii="宋体" w:hAnsi="宋体" w:eastAsia="宋体" w:cs="宋体"/>
          <w:color w:val="auto"/>
          <w:sz w:val="21"/>
          <w:szCs w:val="21"/>
          <w:highlight w:val="none"/>
        </w:rPr>
        <w:t>八、签订</w:t>
      </w:r>
      <w:bookmarkEnd w:id="37"/>
      <w:r>
        <w:rPr>
          <w:rFonts w:hint="eastAsia" w:ascii="宋体" w:hAnsi="宋体" w:eastAsia="宋体" w:cs="宋体"/>
          <w:color w:val="auto"/>
          <w:sz w:val="21"/>
          <w:szCs w:val="21"/>
          <w:highlight w:val="none"/>
        </w:rPr>
        <w:t>合同</w:t>
      </w:r>
      <w:bookmarkEnd w:id="38"/>
      <w:bookmarkEnd w:id="39"/>
      <w:bookmarkEnd w:id="40"/>
      <w:bookmarkEnd w:id="41"/>
      <w:bookmarkEnd w:id="42"/>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应当在成交通知书发出之日起30日内签订合同。</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询价文件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的响应文件及有效承诺文件等，均为签订合同的依据。</w:t>
      </w:r>
    </w:p>
    <w:p>
      <w:pPr>
        <w:snapToGrid w:val="0"/>
        <w:spacing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放弃成交项目或在签订合同时擅自改变成交状态的，</w:t>
      </w:r>
      <w:r>
        <w:rPr>
          <w:rFonts w:hint="eastAsia" w:ascii="宋体" w:hAnsi="宋体" w:eastAsia="宋体" w:cs="宋体"/>
          <w:color w:val="auto"/>
          <w:sz w:val="21"/>
          <w:szCs w:val="21"/>
          <w:highlight w:val="none"/>
          <w:lang w:val="en-US" w:eastAsia="zh-CN"/>
        </w:rPr>
        <w:t>我司</w:t>
      </w:r>
      <w:r>
        <w:rPr>
          <w:rFonts w:hint="eastAsia" w:ascii="宋体" w:hAnsi="宋体" w:eastAsia="宋体" w:cs="宋体"/>
          <w:color w:val="auto"/>
          <w:sz w:val="21"/>
          <w:szCs w:val="21"/>
          <w:highlight w:val="none"/>
        </w:rPr>
        <w:t>将取消其成交资格。</w:t>
      </w:r>
    </w:p>
    <w:p>
      <w:pPr>
        <w:pStyle w:val="5"/>
        <w:spacing w:line="520" w:lineRule="exact"/>
        <w:ind w:firstLine="527"/>
        <w:rPr>
          <w:rFonts w:hint="eastAsia" w:ascii="宋体" w:hAnsi="宋体" w:eastAsia="宋体" w:cs="宋体"/>
          <w:color w:val="auto"/>
          <w:sz w:val="21"/>
          <w:szCs w:val="21"/>
          <w:highlight w:val="none"/>
        </w:rPr>
      </w:pPr>
      <w:bookmarkStart w:id="43" w:name="_Toc528759948"/>
      <w:bookmarkStart w:id="44" w:name="_Toc528763938"/>
      <w:bookmarkStart w:id="45" w:name="_Toc497753438"/>
      <w:bookmarkStart w:id="46" w:name="_Toc2120"/>
      <w:bookmarkStart w:id="47" w:name="_Toc497143327"/>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、其他有关规定</w:t>
      </w:r>
      <w:bookmarkEnd w:id="43"/>
      <w:bookmarkEnd w:id="44"/>
      <w:bookmarkEnd w:id="45"/>
      <w:bookmarkEnd w:id="46"/>
      <w:bookmarkEnd w:id="47"/>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，不得参加同一合同项（分包）下的采购活动，否则均为无效响应。</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2、本项目的补遗文件（如果有）一律在</w:t>
      </w:r>
      <w:r>
        <w:rPr>
          <w:rFonts w:hint="eastAsia" w:ascii="宋体" w:hAnsi="宋体" w:eastAsia="宋体" w:cs="宋体"/>
          <w:color w:val="auto"/>
          <w:sz w:val="21"/>
          <w:szCs w:val="21"/>
          <w:highlight w:val="none"/>
          <w:lang w:eastAsia="zh-CN"/>
        </w:rPr>
        <w:t>“咨采平台”（www.zicaipingtai.com）</w:t>
      </w:r>
      <w:r>
        <w:rPr>
          <w:rFonts w:hint="eastAsia" w:ascii="宋体" w:hAnsi="宋体" w:eastAsia="宋体" w:cs="宋体"/>
          <w:color w:val="auto"/>
          <w:sz w:val="21"/>
          <w:szCs w:val="21"/>
          <w:highlight w:val="none"/>
        </w:rPr>
        <w:t>上发布，请各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注意下载或到</w:t>
      </w:r>
      <w:r>
        <w:rPr>
          <w:rFonts w:hint="eastAsia" w:ascii="宋体" w:hAnsi="宋体" w:eastAsia="宋体" w:cs="宋体"/>
          <w:color w:val="auto"/>
          <w:sz w:val="21"/>
          <w:szCs w:val="21"/>
          <w:highlight w:val="none"/>
          <w:lang w:eastAsia="zh-CN"/>
        </w:rPr>
        <w:t>重庆国际投资咨询集团有限公司</w:t>
      </w:r>
      <w:r>
        <w:rPr>
          <w:rFonts w:hint="eastAsia" w:ascii="宋体" w:hAnsi="宋体" w:eastAsia="宋体" w:cs="宋体"/>
          <w:color w:val="auto"/>
          <w:sz w:val="21"/>
          <w:szCs w:val="21"/>
          <w:highlight w:val="none"/>
        </w:rPr>
        <w:t>领取；无论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下载或领取与否，均视同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已知晓本项目补遗文件（如果有）的内容。</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、超过响应文件截止时间递交的响应文件，恕不接收。</w:t>
      </w:r>
    </w:p>
    <w:p>
      <w:pPr>
        <w:snapToGrid w:val="0"/>
        <w:spacing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、询价费用：无论谈判结果如何，</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参与本项目的所有费用均应由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自行承担。</w:t>
      </w:r>
    </w:p>
    <w:p>
      <w:pPr>
        <w:rPr>
          <w:rFonts w:hint="eastAsia" w:asciiTheme="minorEastAsia" w:hAnsiTheme="minorEastAsia" w:eastAsiaTheme="minorEastAsia" w:cstheme="minorEastAsia"/>
          <w:b w:val="0"/>
          <w:color w:val="auto"/>
          <w:sz w:val="36"/>
          <w:highlight w:val="none"/>
        </w:rPr>
      </w:pPr>
      <w:bookmarkStart w:id="48" w:name="_Toc25725122"/>
      <w:bookmarkStart w:id="49" w:name="_Toc11641054"/>
      <w:r>
        <w:rPr>
          <w:rFonts w:hint="eastAsia" w:asciiTheme="minorEastAsia" w:hAnsiTheme="minorEastAsia" w:eastAsiaTheme="minorEastAsia" w:cstheme="minorEastAsia"/>
          <w:b w:val="0"/>
          <w:color w:val="auto"/>
          <w:sz w:val="36"/>
          <w:highlight w:val="none"/>
        </w:rPr>
        <w:br w:type="page"/>
      </w:r>
    </w:p>
    <w:p>
      <w:pPr>
        <w:pStyle w:val="4"/>
        <w:jc w:val="center"/>
        <w:rPr>
          <w:rFonts w:hint="eastAsia" w:asciiTheme="minorEastAsia" w:hAnsiTheme="minorEastAsia" w:eastAsiaTheme="minorEastAsia" w:cstheme="minorEastAsia"/>
          <w:b w:val="0"/>
          <w:color w:val="auto"/>
          <w:sz w:val="36"/>
          <w:highlight w:val="none"/>
        </w:rPr>
      </w:pPr>
      <w:bookmarkStart w:id="50" w:name="_Toc16114"/>
      <w:r>
        <w:rPr>
          <w:rFonts w:hint="eastAsia" w:asciiTheme="minorEastAsia" w:hAnsiTheme="minorEastAsia" w:eastAsiaTheme="minorEastAsia" w:cstheme="minorEastAsia"/>
          <w:b w:val="0"/>
          <w:color w:val="auto"/>
          <w:sz w:val="36"/>
          <w:highlight w:val="none"/>
        </w:rPr>
        <w:t xml:space="preserve">第三篇  </w:t>
      </w:r>
      <w:bookmarkEnd w:id="48"/>
      <w:bookmarkEnd w:id="49"/>
      <w:bookmarkEnd w:id="50"/>
      <w:r>
        <w:rPr>
          <w:rFonts w:hint="eastAsia" w:asciiTheme="minorEastAsia" w:hAnsiTheme="minorEastAsia" w:eastAsiaTheme="minorEastAsia" w:cstheme="minorEastAsia"/>
          <w:b w:val="0"/>
          <w:color w:val="auto"/>
          <w:sz w:val="36"/>
          <w:highlight w:val="none"/>
          <w:lang w:eastAsia="zh-CN"/>
        </w:rPr>
        <w:t>询价响应文件（</w:t>
      </w:r>
      <w:r>
        <w:rPr>
          <w:rFonts w:hint="eastAsia" w:asciiTheme="minorEastAsia" w:hAnsiTheme="minorEastAsia" w:eastAsiaTheme="minorEastAsia" w:cstheme="minorEastAsia"/>
          <w:b w:val="0"/>
          <w:color w:val="auto"/>
          <w:sz w:val="36"/>
          <w:highlight w:val="none"/>
          <w:lang w:val="en-US" w:eastAsia="zh-CN"/>
        </w:rPr>
        <w:t>格式</w:t>
      </w:r>
      <w:r>
        <w:rPr>
          <w:rFonts w:hint="eastAsia" w:asciiTheme="minorEastAsia" w:hAnsiTheme="minorEastAsia" w:eastAsiaTheme="minorEastAsia" w:cstheme="minorEastAsia"/>
          <w:b w:val="0"/>
          <w:color w:val="auto"/>
          <w:sz w:val="36"/>
          <w:highlight w:val="none"/>
          <w:lang w:eastAsia="zh-CN"/>
        </w:rPr>
        <w:t>）</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报价函</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w:t>
      </w:r>
    </w:p>
    <w:p>
      <w:pPr>
        <w:numPr>
          <w:ilvl w:val="0"/>
          <w:numId w:val="2"/>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法定代表人授权委托书</w:t>
      </w:r>
    </w:p>
    <w:p>
      <w:pPr>
        <w:spacing w:line="360" w:lineRule="auto"/>
        <w:ind w:left="75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、相关的资质证明。</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br w:type="page"/>
      </w:r>
    </w:p>
    <w:p>
      <w:pPr>
        <w:spacing w:line="360" w:lineRule="auto"/>
        <w:jc w:val="center"/>
        <w:rPr>
          <w:rFonts w:hint="eastAsia"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snapToGrid w:val="0"/>
          <w:color w:val="auto"/>
          <w:kern w:val="0"/>
          <w:sz w:val="30"/>
          <w:szCs w:val="30"/>
          <w:highlight w:val="none"/>
        </w:rPr>
        <w:t>一、报 价 函</w:t>
      </w:r>
    </w:p>
    <w:p>
      <w:pPr>
        <w:tabs>
          <w:tab w:val="left" w:pos="6300"/>
        </w:tabs>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重庆富源化工有限公司</w:t>
      </w:r>
      <w:r>
        <w:rPr>
          <w:rFonts w:hint="eastAsia" w:asciiTheme="minorEastAsia" w:hAnsiTheme="minorEastAsia" w:eastAsiaTheme="minorEastAsia" w:cstheme="minorEastAsia"/>
          <w:color w:val="auto"/>
          <w:sz w:val="21"/>
          <w:szCs w:val="21"/>
          <w:highlight w:val="none"/>
        </w:rPr>
        <w:t>：</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我方收到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eastAsia="zh-CN"/>
        </w:rPr>
        <w:t>重庆富源化工有限公司复合肥原料库房建设项目监理（第二次）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lang w:eastAsia="zh-CN"/>
        </w:rPr>
        <w:t>询价文件</w:t>
      </w:r>
      <w:r>
        <w:rPr>
          <w:rFonts w:hint="eastAsia" w:asciiTheme="minorEastAsia" w:hAnsiTheme="minorEastAsia" w:eastAsiaTheme="minorEastAsia" w:cstheme="minorEastAsia"/>
          <w:color w:val="auto"/>
          <w:sz w:val="21"/>
          <w:szCs w:val="21"/>
          <w:highlight w:val="none"/>
        </w:rPr>
        <w:t>，经详细研究，决定参加该询价采购的报价。</w:t>
      </w:r>
    </w:p>
    <w:p>
      <w:pPr>
        <w:spacing w:line="360" w:lineRule="auto"/>
        <w:ind w:firstLine="420" w:firstLineChars="200"/>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本项目为</w:t>
      </w:r>
      <w:r>
        <w:rPr>
          <w:rFonts w:hint="eastAsia" w:asciiTheme="minorEastAsia" w:hAnsiTheme="minorEastAsia" w:eastAsiaTheme="minorEastAsia"/>
          <w:color w:val="auto"/>
          <w:sz w:val="21"/>
          <w:szCs w:val="21"/>
          <w:highlight w:val="none"/>
          <w:lang w:eastAsia="zh-CN"/>
        </w:rPr>
        <w:t>固定总价</w:t>
      </w:r>
      <w:r>
        <w:rPr>
          <w:rFonts w:asciiTheme="minorEastAsia" w:hAnsiTheme="minorEastAsia" w:eastAsiaTheme="minorEastAsia"/>
          <w:color w:val="auto"/>
          <w:sz w:val="21"/>
          <w:szCs w:val="21"/>
          <w:highlight w:val="none"/>
          <w:u w:val="single"/>
        </w:rPr>
        <w:t>人民币（大写）</w:t>
      </w:r>
      <w:r>
        <w:rPr>
          <w:rFonts w:hint="eastAsia" w:asciiTheme="minorEastAsia" w:hAnsiTheme="minorEastAsia" w:eastAsiaTheme="minorEastAsia"/>
          <w:color w:val="auto"/>
          <w:sz w:val="21"/>
          <w:szCs w:val="21"/>
          <w:highlight w:val="none"/>
          <w:u w:val="single"/>
          <w:lang w:eastAsia="zh-CN"/>
        </w:rPr>
        <w:t xml:space="preserve"> </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lang w:val="en-US" w:eastAsia="zh-CN"/>
        </w:rPr>
        <w:t xml:space="preserve">        </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eastAsia="zh-CN"/>
        </w:rPr>
        <w:t>；</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该项目总监理工程师为</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，委托代理人为：</w:t>
      </w:r>
      <w:r>
        <w:rPr>
          <w:rFonts w:hint="eastAsia" w:asciiTheme="minorEastAsia" w:hAnsiTheme="minorEastAsia" w:eastAsiaTheme="minorEastAsia"/>
          <w:color w:val="auto"/>
          <w:sz w:val="21"/>
          <w:szCs w:val="21"/>
          <w:highlight w:val="none"/>
          <w:u w:val="single"/>
        </w:rPr>
        <w:t xml:space="preserve">        </w:t>
      </w:r>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监理服务期</w:t>
      </w:r>
      <w:r>
        <w:rPr>
          <w:rFonts w:hint="eastAsia" w:asciiTheme="minorEastAsia" w:hAnsiTheme="minorEastAsia" w:eastAsiaTheme="minorEastAsia"/>
          <w:color w:val="auto"/>
          <w:sz w:val="21"/>
          <w:szCs w:val="21"/>
          <w:highlight w:val="none"/>
          <w:lang w:val="en-US" w:eastAsia="zh-CN"/>
        </w:rPr>
        <w:t>限</w:t>
      </w:r>
      <w:r>
        <w:rPr>
          <w:rFonts w:hint="eastAsia" w:ascii="宋体" w:hAnsi="宋体"/>
          <w:snapToGrid w:val="0"/>
          <w:color w:val="auto"/>
          <w:kern w:val="0"/>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监理服务质量</w:t>
      </w:r>
      <w:r>
        <w:rPr>
          <w:rFonts w:hint="eastAsia" w:asciiTheme="minorEastAsia" w:hAnsiTheme="minorEastAsia" w:eastAsiaTheme="minorEastAsia"/>
          <w:color w:val="auto"/>
          <w:sz w:val="21"/>
          <w:szCs w:val="21"/>
          <w:highlight w:val="none"/>
          <w:u w:val="single"/>
          <w:lang w:val="en-US" w:eastAsia="zh-CN"/>
        </w:rPr>
        <w:t>达到询价文件的要求</w:t>
      </w:r>
      <w:r>
        <w:rPr>
          <w:rFonts w:hint="eastAsia" w:asciiTheme="minorEastAsia" w:hAnsiTheme="minorEastAsia" w:eastAsiaTheme="minorEastAsia"/>
          <w:color w:val="auto"/>
          <w:sz w:val="21"/>
          <w:szCs w:val="21"/>
          <w:highlight w:val="none"/>
          <w:lang w:val="en-US" w:eastAsia="zh-CN"/>
        </w:rPr>
        <w:t>，</w:t>
      </w:r>
      <w:r>
        <w:rPr>
          <w:rFonts w:asciiTheme="minorEastAsia" w:hAnsiTheme="minorEastAsia" w:eastAsiaTheme="minorEastAsia"/>
          <w:color w:val="auto"/>
          <w:sz w:val="21"/>
          <w:szCs w:val="21"/>
          <w:highlight w:val="none"/>
        </w:rPr>
        <w:t>按合同约定完成</w:t>
      </w:r>
      <w:r>
        <w:rPr>
          <w:rFonts w:hint="eastAsia" w:asciiTheme="minorEastAsia" w:hAnsiTheme="minorEastAsia" w:eastAsiaTheme="minorEastAsia"/>
          <w:color w:val="auto"/>
          <w:sz w:val="21"/>
          <w:szCs w:val="21"/>
          <w:highlight w:val="none"/>
          <w:lang w:val="en-US" w:eastAsia="zh-CN"/>
        </w:rPr>
        <w:t>全部</w:t>
      </w:r>
      <w:r>
        <w:rPr>
          <w:rFonts w:asciiTheme="minorEastAsia" w:hAnsiTheme="minorEastAsia" w:eastAsiaTheme="minorEastAsia"/>
          <w:color w:val="auto"/>
          <w:sz w:val="21"/>
          <w:szCs w:val="21"/>
          <w:highlight w:val="none"/>
        </w:rPr>
        <w:t>监理工作</w:t>
      </w:r>
      <w:r>
        <w:rPr>
          <w:rFonts w:hint="eastAsia" w:asciiTheme="minorEastAsia" w:hAnsiTheme="minorEastAsia" w:eastAsiaTheme="minorEastAsia"/>
          <w:color w:val="auto"/>
          <w:sz w:val="21"/>
          <w:szCs w:val="21"/>
          <w:highlight w:val="none"/>
          <w:lang w:val="en-US" w:eastAsia="zh-CN"/>
        </w:rPr>
        <w:t>内容</w:t>
      </w:r>
      <w:r>
        <w:rPr>
          <w:rFonts w:asciiTheme="minorEastAsia" w:hAnsiTheme="minorEastAsia" w:eastAsiaTheme="minorEastAsia"/>
          <w:color w:val="auto"/>
          <w:sz w:val="21"/>
          <w:szCs w:val="21"/>
          <w:highlight w:val="none"/>
        </w:rPr>
        <w:t>。</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．我方承诺</w:t>
      </w:r>
      <w:r>
        <w:rPr>
          <w:rFonts w:hint="eastAsia" w:ascii="宋体" w:hAnsi="宋体"/>
          <w:snapToGrid w:val="0"/>
          <w:color w:val="auto"/>
          <w:kern w:val="0"/>
          <w:sz w:val="21"/>
          <w:szCs w:val="21"/>
          <w:highlight w:val="none"/>
          <w:lang w:val="en-US" w:eastAsia="zh-CN"/>
        </w:rPr>
        <w:t>响应询价文件规定的询价有效期，</w:t>
      </w:r>
      <w:r>
        <w:rPr>
          <w:rFonts w:asciiTheme="minorEastAsia" w:hAnsiTheme="minorEastAsia" w:eastAsiaTheme="minorEastAsia"/>
          <w:color w:val="auto"/>
          <w:sz w:val="21"/>
          <w:szCs w:val="21"/>
          <w:highlight w:val="none"/>
        </w:rPr>
        <w:t>在</w:t>
      </w:r>
      <w:r>
        <w:rPr>
          <w:rFonts w:hint="eastAsia" w:asciiTheme="minorEastAsia" w:hAnsiTheme="minorEastAsia" w:eastAsiaTheme="minorEastAsia"/>
          <w:color w:val="auto"/>
          <w:sz w:val="21"/>
          <w:szCs w:val="21"/>
          <w:highlight w:val="none"/>
          <w:lang w:val="en-US" w:eastAsia="zh-CN"/>
        </w:rPr>
        <w:t>询价</w:t>
      </w:r>
      <w:r>
        <w:rPr>
          <w:rFonts w:asciiTheme="minorEastAsia" w:hAnsiTheme="minorEastAsia" w:eastAsiaTheme="minorEastAsia"/>
          <w:color w:val="auto"/>
          <w:sz w:val="21"/>
          <w:szCs w:val="21"/>
          <w:highlight w:val="none"/>
        </w:rPr>
        <w:t>有效期内不</w:t>
      </w:r>
      <w:r>
        <w:rPr>
          <w:rFonts w:hint="eastAsia" w:asciiTheme="minorEastAsia" w:hAnsiTheme="minorEastAsia" w:eastAsiaTheme="minorEastAsia"/>
          <w:color w:val="auto"/>
          <w:sz w:val="21"/>
          <w:szCs w:val="21"/>
          <w:highlight w:val="none"/>
          <w:lang w:val="en-US" w:eastAsia="zh-CN"/>
        </w:rPr>
        <w:t>修改、</w:t>
      </w:r>
      <w:r>
        <w:rPr>
          <w:rFonts w:asciiTheme="minorEastAsia" w:hAnsiTheme="minorEastAsia" w:eastAsiaTheme="minorEastAsia"/>
          <w:color w:val="auto"/>
          <w:sz w:val="21"/>
          <w:szCs w:val="21"/>
          <w:highlight w:val="none"/>
        </w:rPr>
        <w:t>撤销</w:t>
      </w:r>
      <w:r>
        <w:rPr>
          <w:rFonts w:hint="eastAsia" w:asciiTheme="minorEastAsia" w:hAnsiTheme="minorEastAsia" w:eastAsiaTheme="minorEastAsia"/>
          <w:color w:val="auto"/>
          <w:sz w:val="21"/>
          <w:szCs w:val="21"/>
          <w:highlight w:val="none"/>
          <w:lang w:val="en-US" w:eastAsia="zh-CN"/>
        </w:rPr>
        <w:t>报价</w:t>
      </w:r>
      <w:r>
        <w:rPr>
          <w:rFonts w:asciiTheme="minorEastAsia" w:hAnsiTheme="minorEastAsia" w:eastAsiaTheme="minorEastAsia"/>
          <w:color w:val="auto"/>
          <w:sz w:val="21"/>
          <w:szCs w:val="21"/>
          <w:highlight w:val="none"/>
        </w:rPr>
        <w:t>文件。</w:t>
      </w:r>
    </w:p>
    <w:p>
      <w:pPr>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snapToGrid w:val="0"/>
          <w:color w:val="auto"/>
          <w:kern w:val="0"/>
          <w:sz w:val="21"/>
          <w:szCs w:val="21"/>
          <w:highlight w:val="none"/>
        </w:rPr>
        <w:t>3.</w:t>
      </w:r>
      <w:r>
        <w:rPr>
          <w:rFonts w:asciiTheme="minorEastAsia" w:hAnsiTheme="minorEastAsia" w:eastAsiaTheme="minorEastAsia"/>
          <w:color w:val="auto"/>
          <w:sz w:val="21"/>
          <w:szCs w:val="21"/>
          <w:highlight w:val="none"/>
        </w:rPr>
        <w:t>如我方</w:t>
      </w:r>
      <w:r>
        <w:rPr>
          <w:rFonts w:hint="eastAsia" w:asciiTheme="minorEastAsia" w:hAnsiTheme="minorEastAsia" w:eastAsiaTheme="minorEastAsia"/>
          <w:color w:val="auto"/>
          <w:sz w:val="21"/>
          <w:szCs w:val="21"/>
          <w:highlight w:val="none"/>
          <w:lang w:val="en-US" w:eastAsia="zh-CN"/>
        </w:rPr>
        <w:t>成交</w:t>
      </w:r>
      <w:r>
        <w:rPr>
          <w:rFonts w:asciiTheme="minorEastAsia" w:hAnsiTheme="minorEastAsia" w:eastAsiaTheme="minorEastAsia"/>
          <w:color w:val="auto"/>
          <w:sz w:val="21"/>
          <w:szCs w:val="21"/>
          <w:highlight w:val="none"/>
        </w:rPr>
        <w:t>，我方承诺：</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（1）在收到</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通知书后，在</w:t>
      </w:r>
      <w:r>
        <w:rPr>
          <w:rFonts w:hint="eastAsia" w:asciiTheme="minorEastAsia" w:hAnsiTheme="minorEastAsia" w:eastAsiaTheme="minorEastAsia"/>
          <w:color w:val="auto"/>
          <w:sz w:val="21"/>
          <w:szCs w:val="21"/>
          <w:highlight w:val="none"/>
          <w:lang w:eastAsia="zh-CN"/>
        </w:rPr>
        <w:t>成交</w:t>
      </w:r>
      <w:r>
        <w:rPr>
          <w:rFonts w:asciiTheme="minorEastAsia" w:hAnsiTheme="minorEastAsia" w:eastAsiaTheme="minorEastAsia"/>
          <w:color w:val="auto"/>
          <w:sz w:val="21"/>
          <w:szCs w:val="21"/>
          <w:highlight w:val="none"/>
        </w:rPr>
        <w:t>通知书规定的期限内与你方签订合同；</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（2）在签订合同时不向你方提出附加条件；</w:t>
      </w:r>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（3）按照</w:t>
      </w:r>
      <w:r>
        <w:rPr>
          <w:rFonts w:hint="eastAsia" w:asciiTheme="minorEastAsia" w:hAnsiTheme="minorEastAsia" w:eastAsiaTheme="minorEastAsia"/>
          <w:color w:val="auto"/>
          <w:sz w:val="21"/>
          <w:szCs w:val="21"/>
          <w:highlight w:val="none"/>
          <w:lang w:eastAsia="zh-CN"/>
        </w:rPr>
        <w:t>询价文件</w:t>
      </w:r>
      <w:r>
        <w:rPr>
          <w:rFonts w:asciiTheme="minorEastAsia" w:hAnsiTheme="minorEastAsia" w:eastAsiaTheme="minorEastAsia"/>
          <w:color w:val="auto"/>
          <w:sz w:val="21"/>
          <w:szCs w:val="21"/>
          <w:highlight w:val="none"/>
        </w:rPr>
        <w:t>要求提交履约保证金；</w:t>
      </w:r>
      <w:bookmarkStart w:id="51" w:name="_Toc352691658"/>
      <w:bookmarkStart w:id="52" w:name="_Toc1187"/>
      <w:bookmarkStart w:id="53" w:name="_Toc369531694"/>
    </w:p>
    <w:p>
      <w:pPr>
        <w:spacing w:line="36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（4）在合</w:t>
      </w:r>
      <w:bookmarkEnd w:id="51"/>
      <w:bookmarkEnd w:id="52"/>
      <w:bookmarkEnd w:id="53"/>
      <w:r>
        <w:rPr>
          <w:rFonts w:asciiTheme="minorEastAsia" w:hAnsiTheme="minorEastAsia" w:eastAsiaTheme="minorEastAsia"/>
          <w:color w:val="auto"/>
          <w:sz w:val="21"/>
          <w:szCs w:val="21"/>
          <w:highlight w:val="none"/>
        </w:rPr>
        <w:t>同约定的期限内完成合同规定的全部义务。</w:t>
      </w:r>
    </w:p>
    <w:p>
      <w:pPr>
        <w:spacing w:line="440" w:lineRule="exact"/>
        <w:rPr>
          <w:rFonts w:asciiTheme="minorEastAsia" w:hAnsiTheme="minorEastAsia" w:eastAsiaTheme="minorEastAsia"/>
          <w:color w:val="auto"/>
          <w:sz w:val="21"/>
          <w:szCs w:val="21"/>
          <w:highlight w:val="none"/>
        </w:rPr>
      </w:pPr>
    </w:p>
    <w:p>
      <w:pPr>
        <w:pStyle w:val="2"/>
        <w:rPr>
          <w:color w:val="auto"/>
          <w:sz w:val="21"/>
          <w:szCs w:val="21"/>
          <w:highlight w:val="none"/>
        </w:rPr>
      </w:pP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盖章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法定代表人或其委托代理人：（盖章或签字）</w:t>
      </w: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地址：  </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                           传真：</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网址：                           邮编：</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p>
      <w:pPr>
        <w:tabs>
          <w:tab w:val="left" w:pos="6300"/>
        </w:tabs>
        <w:snapToGrid w:val="0"/>
        <w:spacing w:line="360" w:lineRule="auto"/>
        <w:ind w:firstLine="570"/>
        <w:rPr>
          <w:rFonts w:hint="eastAsia" w:asciiTheme="minorEastAsia" w:hAnsiTheme="minorEastAsia" w:eastAsiaTheme="minorEastAsia" w:cstheme="minorEastAsia"/>
          <w:color w:val="auto"/>
          <w:sz w:val="21"/>
          <w:szCs w:val="21"/>
          <w:highlight w:val="none"/>
        </w:rPr>
      </w:pPr>
    </w:p>
    <w:p>
      <w:pPr>
        <w:snapToGrid w:val="0"/>
        <w:spacing w:line="360" w:lineRule="auto"/>
        <w:ind w:firstLine="560"/>
        <w:rPr>
          <w:rFonts w:hint="eastAsia" w:asciiTheme="minorEastAsia" w:hAnsiTheme="minorEastAsia" w:eastAsiaTheme="minorEastAsia" w:cstheme="minorEastAsia"/>
          <w:color w:val="auto"/>
          <w:sz w:val="21"/>
          <w:szCs w:val="21"/>
          <w:highlight w:val="none"/>
        </w:rPr>
        <w:sectPr>
          <w:headerReference r:id="rId10" w:type="default"/>
          <w:footerReference r:id="rId11" w:type="default"/>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r>
        <w:rPr>
          <w:rFonts w:hint="eastAsia" w:asciiTheme="minorEastAsia" w:hAnsiTheme="minorEastAsia" w:eastAsiaTheme="minorEastAsia" w:cstheme="minorEastAsia"/>
          <w:color w:val="auto"/>
          <w:sz w:val="21"/>
          <w:szCs w:val="21"/>
          <w:highlight w:val="none"/>
        </w:rPr>
        <w:t xml:space="preserve">                                        年   月   日</w:t>
      </w: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bookmarkStart w:id="54" w:name="_Toc20047"/>
      <w:r>
        <w:rPr>
          <w:rFonts w:hint="eastAsia" w:asciiTheme="minorEastAsia" w:hAnsiTheme="minorEastAsia" w:eastAsiaTheme="minorEastAsia" w:cstheme="minorEastAsia"/>
          <w:snapToGrid w:val="0"/>
          <w:color w:val="auto"/>
          <w:kern w:val="0"/>
          <w:sz w:val="30"/>
          <w:szCs w:val="30"/>
          <w:highlight w:val="none"/>
        </w:rPr>
        <w:t>二、法定代表人身份证明书（格式）</w:t>
      </w:r>
      <w:bookmarkEnd w:id="54"/>
    </w:p>
    <w:p>
      <w:pPr>
        <w:tabs>
          <w:tab w:val="left" w:pos="6300"/>
        </w:tabs>
        <w:snapToGrid w:val="0"/>
        <w:spacing w:line="5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360" w:lineRule="auto"/>
        <w:ind w:firstLine="74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（法定代表人姓名）在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（职务名称）职务，是</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名称）的法定代表人。</w:t>
      </w:r>
    </w:p>
    <w:p>
      <w:pPr>
        <w:tabs>
          <w:tab w:val="left" w:pos="6300"/>
        </w:tabs>
        <w:snapToGrid w:val="0"/>
        <w:spacing w:line="500" w:lineRule="atLeast"/>
        <w:ind w:firstLine="573"/>
        <w:rPr>
          <w:rFonts w:hint="eastAsia" w:asciiTheme="minorEastAsia" w:hAnsiTheme="minorEastAsia" w:eastAsiaTheme="minorEastAsia" w:cstheme="minorEastAsia"/>
          <w:color w:val="auto"/>
          <w:sz w:val="21"/>
          <w:szCs w:val="21"/>
          <w:highlight w:val="none"/>
        </w:rPr>
      </w:pPr>
    </w:p>
    <w:p>
      <w:pPr>
        <w:tabs>
          <w:tab w:val="left" w:pos="6300"/>
        </w:tabs>
        <w:snapToGrid w:val="0"/>
        <w:spacing w:line="500" w:lineRule="atLeast"/>
        <w:ind w:firstLine="573"/>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400" w:lineRule="atLeast"/>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供应商盖章</w:t>
      </w:r>
      <w:r>
        <w:rPr>
          <w:rFonts w:hint="eastAsia" w:asciiTheme="minorEastAsia" w:hAnsiTheme="minorEastAsia" w:eastAsiaTheme="minorEastAsia" w:cstheme="minorEastAsia"/>
          <w:color w:val="auto"/>
          <w:sz w:val="21"/>
          <w:szCs w:val="21"/>
          <w:highlight w:val="none"/>
        </w:rPr>
        <w:t>）</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附：上述法定代表人住址：</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身份证号码：</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电    传：</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网    址：</w:t>
      </w:r>
    </w:p>
    <w:p>
      <w:pPr>
        <w:tabs>
          <w:tab w:val="left" w:pos="6300"/>
        </w:tabs>
        <w:snapToGrid w:val="0"/>
        <w:spacing w:line="4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邮政编码：</w:t>
      </w:r>
    </w:p>
    <w:p>
      <w:pPr>
        <w:snapToGrid w:val="0"/>
        <w:spacing w:line="360" w:lineRule="auto"/>
        <w:rPr>
          <w:rFonts w:hint="eastAsia" w:asciiTheme="minorEastAsia" w:hAnsiTheme="minorEastAsia" w:eastAsiaTheme="minorEastAsia" w:cstheme="minorEastAsia"/>
          <w:color w:val="auto"/>
          <w:sz w:val="21"/>
          <w:szCs w:val="21"/>
          <w:highlight w:val="none"/>
          <w:bdr w:val="single" w:color="000000" w:sz="4" w:space="0"/>
        </w:rPr>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pP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bookmarkStart w:id="55" w:name="_Toc8797"/>
      <w:r>
        <w:rPr>
          <w:rFonts w:hint="eastAsia" w:asciiTheme="minorEastAsia" w:hAnsiTheme="minorEastAsia" w:eastAsiaTheme="minorEastAsia" w:cstheme="minorEastAsia"/>
          <w:snapToGrid w:val="0"/>
          <w:color w:val="auto"/>
          <w:kern w:val="0"/>
          <w:sz w:val="30"/>
          <w:szCs w:val="30"/>
          <w:highlight w:val="none"/>
          <w:lang w:val="en-US" w:eastAsia="zh-CN"/>
        </w:rPr>
        <w:t>三</w:t>
      </w:r>
      <w:r>
        <w:rPr>
          <w:rFonts w:hint="eastAsia" w:asciiTheme="minorEastAsia" w:hAnsiTheme="minorEastAsia" w:eastAsiaTheme="minorEastAsia" w:cstheme="minorEastAsia"/>
          <w:snapToGrid w:val="0"/>
          <w:color w:val="auto"/>
          <w:kern w:val="0"/>
          <w:sz w:val="30"/>
          <w:szCs w:val="30"/>
          <w:highlight w:val="none"/>
        </w:rPr>
        <w:t>、法定代表人授权委托书（格式）</w:t>
      </w:r>
      <w:bookmarkEnd w:id="55"/>
    </w:p>
    <w:p>
      <w:pPr>
        <w:pStyle w:val="13"/>
        <w:tabs>
          <w:tab w:val="left" w:pos="6300"/>
        </w:tabs>
        <w:snapToGrid w:val="0"/>
        <w:spacing w:line="400" w:lineRule="atLeas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    期：_______________</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致：_____________________（</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名称）</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_____________________（</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名称）是中华人民共和国合法企业，法定地址______________________________。</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_________（</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法定代表人姓名）特授权_________（被授权人姓名及身份证代码）代表我单位全权办理对上述项目的报价、签约等具体工作，并签署全部有关的文件、协议及合同。</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我单位对被授权人的签名负全部责任。</w:t>
      </w:r>
    </w:p>
    <w:p>
      <w:pPr>
        <w:tabs>
          <w:tab w:val="left" w:pos="6300"/>
        </w:tabs>
        <w:snapToGrid w:val="0"/>
        <w:spacing w:line="600" w:lineRule="atLeast"/>
        <w:ind w:firstLine="5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被授权人（签字或盖章）：          法定代表人（签字或盖章）：</w:t>
      </w:r>
    </w:p>
    <w:p>
      <w:pPr>
        <w:tabs>
          <w:tab w:val="left" w:pos="6300"/>
        </w:tabs>
        <w:snapToGrid w:val="0"/>
        <w:spacing w:line="600" w:lineRule="atLeas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  务：                                     职  务：</w:t>
      </w: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tabs>
          <w:tab w:val="left" w:pos="6300"/>
        </w:tabs>
        <w:snapToGrid w:val="0"/>
        <w:spacing w:line="600" w:lineRule="atLeast"/>
        <w:rPr>
          <w:rFonts w:hint="eastAsia" w:asciiTheme="minorEastAsia" w:hAnsiTheme="minorEastAsia" w:eastAsiaTheme="minorEastAsia" w:cstheme="minorEastAsia"/>
          <w:color w:val="auto"/>
          <w:sz w:val="21"/>
          <w:szCs w:val="21"/>
          <w:highlight w:val="none"/>
        </w:rPr>
      </w:pPr>
    </w:p>
    <w:p>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供应商盖章</w:t>
      </w:r>
      <w:r>
        <w:rPr>
          <w:rFonts w:hint="eastAsia" w:asciiTheme="minorEastAsia" w:hAnsiTheme="minorEastAsia" w:eastAsiaTheme="minorEastAsia" w:cstheme="minorEastAsia"/>
          <w:color w:val="auto"/>
          <w:sz w:val="21"/>
          <w:szCs w:val="21"/>
          <w:highlight w:val="none"/>
        </w:rPr>
        <w:t>：</w:t>
      </w:r>
    </w:p>
    <w:p>
      <w:pPr>
        <w:snapToGrid w:val="0"/>
        <w:spacing w:line="360" w:lineRule="auto"/>
        <w:rPr>
          <w:rFonts w:hint="eastAsia" w:asciiTheme="minorEastAsia" w:hAnsiTheme="minorEastAsia" w:eastAsiaTheme="minorEastAsia" w:cstheme="minorEastAsia"/>
          <w:color w:val="auto"/>
          <w:sz w:val="21"/>
          <w:szCs w:val="21"/>
          <w:highlight w:val="none"/>
        </w:rPr>
      </w:pPr>
      <w:bookmarkStart w:id="56" w:name="_Hlt21142235"/>
      <w:bookmarkEnd w:id="56"/>
    </w:p>
    <w:p>
      <w:pPr>
        <w:rPr>
          <w:rFonts w:hint="eastAsia" w:asciiTheme="minorEastAsia" w:hAnsiTheme="minorEastAsia" w:eastAsiaTheme="minorEastAsia" w:cstheme="minorEastAsia"/>
          <w:snapToGrid w:val="0"/>
          <w:color w:val="auto"/>
          <w:kern w:val="0"/>
          <w:sz w:val="30"/>
          <w:szCs w:val="30"/>
          <w:highlight w:val="none"/>
          <w:lang w:val="en-US" w:eastAsia="zh-CN"/>
        </w:rPr>
      </w:pPr>
      <w:bookmarkStart w:id="57" w:name="_Toc2870"/>
      <w:r>
        <w:rPr>
          <w:rFonts w:hint="eastAsia" w:asciiTheme="minorEastAsia" w:hAnsiTheme="minorEastAsia" w:eastAsiaTheme="minorEastAsia" w:cstheme="minorEastAsia"/>
          <w:snapToGrid w:val="0"/>
          <w:color w:val="auto"/>
          <w:kern w:val="0"/>
          <w:sz w:val="30"/>
          <w:szCs w:val="30"/>
          <w:highlight w:val="none"/>
          <w:lang w:val="en-US" w:eastAsia="zh-CN"/>
        </w:rPr>
        <w:br w:type="page"/>
      </w:r>
    </w:p>
    <w:p>
      <w:pPr>
        <w:pStyle w:val="5"/>
        <w:spacing w:line="500" w:lineRule="atLeast"/>
        <w:ind w:firstLine="562"/>
        <w:jc w:val="center"/>
        <w:rPr>
          <w:rFonts w:hint="eastAsia" w:asciiTheme="minorEastAsia" w:hAnsiTheme="minorEastAsia" w:eastAsiaTheme="minorEastAsia" w:cstheme="minorEastAsia"/>
          <w:snapToGrid w:val="0"/>
          <w:color w:val="auto"/>
          <w:kern w:val="0"/>
          <w:sz w:val="30"/>
          <w:szCs w:val="30"/>
          <w:highlight w:val="none"/>
        </w:rPr>
      </w:pPr>
      <w:r>
        <w:rPr>
          <w:rFonts w:hint="eastAsia" w:asciiTheme="minorEastAsia" w:hAnsiTheme="minorEastAsia" w:eastAsiaTheme="minorEastAsia" w:cstheme="minorEastAsia"/>
          <w:snapToGrid w:val="0"/>
          <w:color w:val="auto"/>
          <w:kern w:val="0"/>
          <w:sz w:val="30"/>
          <w:szCs w:val="30"/>
          <w:highlight w:val="none"/>
          <w:lang w:val="en-US" w:eastAsia="zh-CN"/>
        </w:rPr>
        <w:t>四</w:t>
      </w:r>
      <w:r>
        <w:rPr>
          <w:rFonts w:hint="eastAsia" w:asciiTheme="minorEastAsia" w:hAnsiTheme="minorEastAsia" w:eastAsiaTheme="minorEastAsia" w:cstheme="minorEastAsia"/>
          <w:snapToGrid w:val="0"/>
          <w:color w:val="auto"/>
          <w:kern w:val="0"/>
          <w:sz w:val="30"/>
          <w:szCs w:val="30"/>
          <w:highlight w:val="none"/>
        </w:rPr>
        <w:t>、</w:t>
      </w:r>
      <w:r>
        <w:rPr>
          <w:rFonts w:hint="eastAsia" w:asciiTheme="minorEastAsia" w:hAnsiTheme="minorEastAsia" w:eastAsiaTheme="minorEastAsia" w:cstheme="minorEastAsia"/>
          <w:color w:val="auto"/>
          <w:sz w:val="28"/>
          <w:szCs w:val="28"/>
          <w:highlight w:val="none"/>
        </w:rPr>
        <w:t>相关的资质证明</w:t>
      </w:r>
      <w:bookmarkEnd w:id="57"/>
    </w:p>
    <w:p>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参照</w:t>
      </w:r>
      <w:r>
        <w:rPr>
          <w:rFonts w:hint="eastAsia" w:asciiTheme="minorEastAsia" w:hAnsiTheme="minorEastAsia" w:eastAsiaTheme="minorEastAsia" w:cstheme="minorEastAsia"/>
          <w:color w:val="auto"/>
          <w:sz w:val="21"/>
          <w:szCs w:val="21"/>
          <w:highlight w:val="none"/>
        </w:rPr>
        <w:t>本询价文件第二篇第一条“</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资质”要求的内容</w:t>
      </w:r>
      <w:r>
        <w:rPr>
          <w:rFonts w:hint="eastAsia" w:asciiTheme="minorEastAsia" w:hAnsiTheme="minorEastAsia" w:eastAsiaTheme="minorEastAsia" w:cstheme="minorEastAsia"/>
          <w:color w:val="auto"/>
          <w:sz w:val="21"/>
          <w:szCs w:val="21"/>
          <w:highlight w:val="none"/>
          <w:lang w:val="en-US" w:eastAsia="zh-CN"/>
        </w:rPr>
        <w:t>提供资料</w:t>
      </w:r>
    </w:p>
    <w:p>
      <w:pPr>
        <w:pStyle w:val="2"/>
        <w:rPr>
          <w:rFonts w:hint="eastAsia" w:asciiTheme="minorEastAsia" w:hAnsiTheme="minorEastAsia" w:eastAsiaTheme="minorEastAsia" w:cstheme="minorEastAsia"/>
          <w:color w:val="auto"/>
          <w:sz w:val="21"/>
          <w:szCs w:val="21"/>
          <w:highlight w:val="none"/>
          <w:lang w:val="en-US" w:eastAsia="zh-CN"/>
        </w:rPr>
      </w:pP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1、提供营业执照复印件。</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2、资质证书。</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3、拟委任的主要人员汇总表。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4、主要人员简历表。</w:t>
      </w:r>
    </w:p>
    <w:p>
      <w:pPr>
        <w:snapToGrid w:val="0"/>
        <w:spacing w:line="520" w:lineRule="exact"/>
        <w:ind w:firstLine="422"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5、承诺</w:t>
      </w:r>
    </w:p>
    <w:p>
      <w:pPr>
        <w:snapToGrid w:val="0"/>
        <w:spacing w:line="520" w:lineRule="exact"/>
        <w:ind w:firstLine="422" w:firstLineChars="200"/>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6、其他</w:t>
      </w:r>
    </w:p>
    <w:p>
      <w:pPr>
        <w:pStyle w:val="2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p>
      <w:pPr>
        <w:pStyle w:val="4"/>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58" w:name="_Toc8016"/>
      <w:r>
        <w:rPr>
          <w:rFonts w:hint="eastAsia" w:cs="Times New Roman" w:asciiTheme="minorEastAsia" w:hAnsiTheme="minorEastAsia" w:eastAsiaTheme="minorEastAsia"/>
          <w:b/>
          <w:bCs/>
          <w:color w:val="auto"/>
          <w:kern w:val="2"/>
          <w:sz w:val="28"/>
          <w:szCs w:val="20"/>
          <w:highlight w:val="none"/>
          <w:lang w:val="en-US" w:eastAsia="zh-CN" w:bidi="ar-SA"/>
        </w:rPr>
        <w:t>3、拟委任的主要人员汇总表</w:t>
      </w:r>
      <w:bookmarkEnd w:id="58"/>
    </w:p>
    <w:tbl>
      <w:tblPr>
        <w:tblStyle w:val="22"/>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829"/>
        <w:gridCol w:w="625"/>
        <w:gridCol w:w="1162"/>
        <w:gridCol w:w="825"/>
        <w:gridCol w:w="813"/>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序号</w:t>
            </w:r>
          </w:p>
        </w:tc>
        <w:tc>
          <w:tcPr>
            <w:tcW w:w="127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本项目任职</w:t>
            </w:r>
          </w:p>
        </w:tc>
        <w:tc>
          <w:tcPr>
            <w:tcW w:w="992"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姓名</w:t>
            </w:r>
          </w:p>
        </w:tc>
        <w:tc>
          <w:tcPr>
            <w:tcW w:w="829"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技术</w:t>
            </w:r>
            <w:r>
              <w:rPr>
                <w:rFonts w:asciiTheme="minorEastAsia" w:hAnsiTheme="minorEastAsia" w:eastAsiaTheme="minorEastAsia"/>
                <w:color w:val="auto"/>
                <w:sz w:val="21"/>
                <w:szCs w:val="21"/>
                <w:highlight w:val="none"/>
              </w:rPr>
              <w:t>职称</w:t>
            </w:r>
          </w:p>
        </w:tc>
        <w:tc>
          <w:tcPr>
            <w:tcW w:w="625" w:type="dxa"/>
            <w:vMerge w:val="restart"/>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专业</w:t>
            </w:r>
          </w:p>
        </w:tc>
        <w:tc>
          <w:tcPr>
            <w:tcW w:w="2800"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执业或职业资格证明</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1275" w:type="dxa"/>
            <w:vMerge w:val="continue"/>
          </w:tcPr>
          <w:p>
            <w:pPr>
              <w:spacing w:line="400" w:lineRule="exact"/>
              <w:rPr>
                <w:rFonts w:asciiTheme="minorEastAsia" w:hAnsiTheme="minorEastAsia" w:eastAsiaTheme="minorEastAsia"/>
                <w:color w:val="auto"/>
                <w:sz w:val="21"/>
                <w:szCs w:val="21"/>
                <w:highlight w:val="none"/>
              </w:rPr>
            </w:pPr>
          </w:p>
        </w:tc>
        <w:tc>
          <w:tcPr>
            <w:tcW w:w="992"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829" w:type="dxa"/>
            <w:vMerge w:val="continue"/>
            <w:vAlign w:val="center"/>
          </w:tcPr>
          <w:p>
            <w:pPr>
              <w:spacing w:line="400" w:lineRule="exact"/>
              <w:rPr>
                <w:rFonts w:asciiTheme="minorEastAsia" w:hAnsiTheme="minorEastAsia" w:eastAsiaTheme="minorEastAsia"/>
                <w:color w:val="auto"/>
                <w:sz w:val="21"/>
                <w:szCs w:val="21"/>
                <w:highlight w:val="none"/>
              </w:rPr>
            </w:pPr>
          </w:p>
        </w:tc>
        <w:tc>
          <w:tcPr>
            <w:tcW w:w="625" w:type="dxa"/>
            <w:vMerge w:val="continue"/>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证书名称</w:t>
            </w:r>
          </w:p>
        </w:tc>
        <w:tc>
          <w:tcPr>
            <w:tcW w:w="825"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级别</w:t>
            </w:r>
          </w:p>
        </w:tc>
        <w:tc>
          <w:tcPr>
            <w:tcW w:w="813"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证号</w:t>
            </w: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vAlign w:val="center"/>
          </w:tcPr>
          <w:p>
            <w:pPr>
              <w:spacing w:line="400" w:lineRule="exact"/>
              <w:jc w:val="center"/>
              <w:rPr>
                <w:rFonts w:asciiTheme="minorEastAsia" w:hAnsiTheme="minorEastAsia" w:eastAsiaTheme="minorEastAsia"/>
                <w:color w:val="auto"/>
                <w:sz w:val="21"/>
                <w:szCs w:val="21"/>
                <w:highlight w:val="none"/>
              </w:rPr>
            </w:pPr>
          </w:p>
        </w:tc>
        <w:tc>
          <w:tcPr>
            <w:tcW w:w="829" w:type="dxa"/>
            <w:vAlign w:val="center"/>
          </w:tcPr>
          <w:p>
            <w:pPr>
              <w:spacing w:line="400" w:lineRule="exact"/>
              <w:jc w:val="center"/>
              <w:rPr>
                <w:rFonts w:asciiTheme="minorEastAsia" w:hAnsiTheme="minorEastAsia" w:eastAsiaTheme="minorEastAsia"/>
                <w:color w:val="auto"/>
                <w:sz w:val="21"/>
                <w:szCs w:val="21"/>
                <w:highlight w:val="none"/>
              </w:rPr>
            </w:pPr>
          </w:p>
        </w:tc>
        <w:tc>
          <w:tcPr>
            <w:tcW w:w="625" w:type="dxa"/>
            <w:vAlign w:val="center"/>
          </w:tcPr>
          <w:p>
            <w:pPr>
              <w:spacing w:line="400" w:lineRule="exact"/>
              <w:jc w:val="center"/>
              <w:rPr>
                <w:rFonts w:asciiTheme="minorEastAsia" w:hAnsiTheme="minorEastAsia" w:eastAsiaTheme="minorEastAsia"/>
                <w:color w:val="auto"/>
                <w:sz w:val="21"/>
                <w:szCs w:val="21"/>
                <w:highlight w:val="none"/>
              </w:rPr>
            </w:pPr>
          </w:p>
        </w:tc>
        <w:tc>
          <w:tcPr>
            <w:tcW w:w="1162" w:type="dxa"/>
            <w:vAlign w:val="center"/>
          </w:tcPr>
          <w:p>
            <w:pPr>
              <w:spacing w:line="400" w:lineRule="exact"/>
              <w:jc w:val="center"/>
              <w:rPr>
                <w:rFonts w:asciiTheme="minorEastAsia" w:hAnsiTheme="minorEastAsia" w:eastAsiaTheme="minorEastAsia"/>
                <w:color w:val="auto"/>
                <w:sz w:val="21"/>
                <w:szCs w:val="21"/>
                <w:highlight w:val="none"/>
              </w:rPr>
            </w:pPr>
          </w:p>
        </w:tc>
        <w:tc>
          <w:tcPr>
            <w:tcW w:w="825" w:type="dxa"/>
            <w:vAlign w:val="center"/>
          </w:tcPr>
          <w:p>
            <w:pPr>
              <w:spacing w:line="400" w:lineRule="exact"/>
              <w:jc w:val="center"/>
              <w:rPr>
                <w:rFonts w:asciiTheme="minorEastAsia" w:hAnsiTheme="minorEastAsia" w:eastAsiaTheme="minorEastAsia"/>
                <w:color w:val="auto"/>
                <w:sz w:val="21"/>
                <w:szCs w:val="21"/>
                <w:highlight w:val="none"/>
              </w:rPr>
            </w:pPr>
          </w:p>
        </w:tc>
        <w:tc>
          <w:tcPr>
            <w:tcW w:w="813" w:type="dxa"/>
            <w:vAlign w:val="center"/>
          </w:tcPr>
          <w:p>
            <w:pPr>
              <w:spacing w:line="400" w:lineRule="exact"/>
              <w:jc w:val="center"/>
              <w:rPr>
                <w:rFonts w:asciiTheme="minorEastAsia" w:hAnsiTheme="minorEastAsia" w:eastAsiaTheme="minorEastAsia"/>
                <w:color w:val="auto"/>
                <w:sz w:val="21"/>
                <w:szCs w:val="21"/>
                <w:highlight w:val="none"/>
              </w:rPr>
            </w:pPr>
          </w:p>
        </w:tc>
        <w:tc>
          <w:tcPr>
            <w:tcW w:w="1212"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400" w:lineRule="exact"/>
              <w:jc w:val="center"/>
              <w:rPr>
                <w:rFonts w:asciiTheme="minorEastAsia" w:hAnsiTheme="minorEastAsia" w:eastAsiaTheme="minorEastAsia"/>
                <w:color w:val="auto"/>
                <w:sz w:val="21"/>
                <w:szCs w:val="21"/>
                <w:highlight w:val="none"/>
              </w:rPr>
            </w:pPr>
          </w:p>
        </w:tc>
        <w:tc>
          <w:tcPr>
            <w:tcW w:w="1275" w:type="dxa"/>
          </w:tcPr>
          <w:p>
            <w:pPr>
              <w:spacing w:line="400" w:lineRule="exact"/>
              <w:jc w:val="center"/>
              <w:rPr>
                <w:rFonts w:asciiTheme="minorEastAsia" w:hAnsiTheme="minorEastAsia" w:eastAsiaTheme="minorEastAsia"/>
                <w:color w:val="auto"/>
                <w:sz w:val="21"/>
                <w:szCs w:val="21"/>
                <w:highlight w:val="none"/>
              </w:rPr>
            </w:pPr>
          </w:p>
        </w:tc>
        <w:tc>
          <w:tcPr>
            <w:tcW w:w="992" w:type="dxa"/>
          </w:tcPr>
          <w:p>
            <w:pPr>
              <w:spacing w:line="400" w:lineRule="exact"/>
              <w:jc w:val="center"/>
              <w:rPr>
                <w:rFonts w:asciiTheme="minorEastAsia" w:hAnsiTheme="minorEastAsia" w:eastAsiaTheme="minorEastAsia"/>
                <w:color w:val="auto"/>
                <w:sz w:val="21"/>
                <w:szCs w:val="21"/>
                <w:highlight w:val="none"/>
              </w:rPr>
            </w:pPr>
          </w:p>
        </w:tc>
        <w:tc>
          <w:tcPr>
            <w:tcW w:w="829" w:type="dxa"/>
          </w:tcPr>
          <w:p>
            <w:pPr>
              <w:spacing w:line="400" w:lineRule="exact"/>
              <w:jc w:val="center"/>
              <w:rPr>
                <w:rFonts w:asciiTheme="minorEastAsia" w:hAnsiTheme="minorEastAsia" w:eastAsiaTheme="minorEastAsia"/>
                <w:color w:val="auto"/>
                <w:sz w:val="21"/>
                <w:szCs w:val="21"/>
                <w:highlight w:val="none"/>
              </w:rPr>
            </w:pPr>
          </w:p>
        </w:tc>
        <w:tc>
          <w:tcPr>
            <w:tcW w:w="625" w:type="dxa"/>
          </w:tcPr>
          <w:p>
            <w:pPr>
              <w:spacing w:line="400" w:lineRule="exact"/>
              <w:jc w:val="center"/>
              <w:rPr>
                <w:rFonts w:asciiTheme="minorEastAsia" w:hAnsiTheme="minorEastAsia" w:eastAsiaTheme="minorEastAsia"/>
                <w:color w:val="auto"/>
                <w:sz w:val="21"/>
                <w:szCs w:val="21"/>
                <w:highlight w:val="none"/>
              </w:rPr>
            </w:pPr>
          </w:p>
        </w:tc>
        <w:tc>
          <w:tcPr>
            <w:tcW w:w="1162" w:type="dxa"/>
          </w:tcPr>
          <w:p>
            <w:pPr>
              <w:spacing w:line="400" w:lineRule="exact"/>
              <w:jc w:val="center"/>
              <w:rPr>
                <w:rFonts w:asciiTheme="minorEastAsia" w:hAnsiTheme="minorEastAsia" w:eastAsiaTheme="minorEastAsia"/>
                <w:color w:val="auto"/>
                <w:sz w:val="21"/>
                <w:szCs w:val="21"/>
                <w:highlight w:val="none"/>
              </w:rPr>
            </w:pPr>
          </w:p>
        </w:tc>
        <w:tc>
          <w:tcPr>
            <w:tcW w:w="825" w:type="dxa"/>
          </w:tcPr>
          <w:p>
            <w:pPr>
              <w:spacing w:line="400" w:lineRule="exact"/>
              <w:jc w:val="center"/>
              <w:rPr>
                <w:rFonts w:asciiTheme="minorEastAsia" w:hAnsiTheme="minorEastAsia" w:eastAsiaTheme="minorEastAsia"/>
                <w:color w:val="auto"/>
                <w:sz w:val="21"/>
                <w:szCs w:val="21"/>
                <w:highlight w:val="none"/>
              </w:rPr>
            </w:pPr>
          </w:p>
        </w:tc>
        <w:tc>
          <w:tcPr>
            <w:tcW w:w="813" w:type="dxa"/>
          </w:tcPr>
          <w:p>
            <w:pPr>
              <w:spacing w:line="400" w:lineRule="exact"/>
              <w:jc w:val="center"/>
              <w:rPr>
                <w:rFonts w:asciiTheme="minorEastAsia" w:hAnsiTheme="minorEastAsia" w:eastAsiaTheme="minorEastAsia"/>
                <w:color w:val="auto"/>
                <w:sz w:val="21"/>
                <w:szCs w:val="21"/>
                <w:highlight w:val="none"/>
              </w:rPr>
            </w:pPr>
          </w:p>
        </w:tc>
        <w:tc>
          <w:tcPr>
            <w:tcW w:w="1212" w:type="dxa"/>
          </w:tcPr>
          <w:p>
            <w:pPr>
              <w:spacing w:line="400" w:lineRule="exact"/>
              <w:jc w:val="center"/>
              <w:rPr>
                <w:rFonts w:asciiTheme="minorEastAsia" w:hAnsiTheme="minorEastAsia" w:eastAsiaTheme="minorEastAsia"/>
                <w:color w:val="auto"/>
                <w:sz w:val="21"/>
                <w:szCs w:val="21"/>
                <w:highlight w:val="none"/>
              </w:rPr>
            </w:pPr>
          </w:p>
        </w:tc>
      </w:tr>
    </w:tbl>
    <w:p>
      <w:pPr>
        <w:spacing w:line="440" w:lineRule="exac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9" w:name="_Toc144974873"/>
      <w:bookmarkStart w:id="60" w:name="_Toc152042594"/>
      <w:bookmarkStart w:id="61" w:name="_Toc179632825"/>
      <w:bookmarkStart w:id="62" w:name="_Toc152045805"/>
    </w:p>
    <w:p>
      <w:pPr>
        <w:pStyle w:val="4"/>
        <w:spacing w:before="0" w:after="0" w:line="360" w:lineRule="auto"/>
        <w:jc w:val="center"/>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63" w:name="_Toc300835232"/>
      <w:bookmarkStart w:id="64" w:name="_Toc370676440"/>
      <w:bookmarkStart w:id="65" w:name="_Toc384308390"/>
      <w:bookmarkStart w:id="66" w:name="_Toc15875"/>
      <w:bookmarkStart w:id="67" w:name="_Toc12669"/>
      <w:bookmarkStart w:id="68" w:name="_Toc391394125"/>
      <w:bookmarkStart w:id="69" w:name="_Toc359594249"/>
      <w:bookmarkStart w:id="70" w:name="_Toc482188668"/>
      <w:bookmarkStart w:id="71" w:name="_Toc492300735"/>
      <w:bookmarkStart w:id="72" w:name="_Toc385943079"/>
      <w:r>
        <w:rPr>
          <w:rFonts w:hint="eastAsia" w:cs="Times New Roman" w:asciiTheme="minorEastAsia" w:hAnsiTheme="minorEastAsia" w:eastAsiaTheme="minorEastAsia"/>
          <w:b/>
          <w:bCs/>
          <w:color w:val="auto"/>
          <w:kern w:val="2"/>
          <w:sz w:val="28"/>
          <w:szCs w:val="20"/>
          <w:highlight w:val="none"/>
          <w:lang w:val="en-US" w:eastAsia="zh-CN" w:bidi="ar-SA"/>
        </w:rPr>
        <w:t>4、主要人员简历表</w:t>
      </w:r>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姓  名</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年龄</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执业资格证书（或上岗证书）名称</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00" w:lineRule="exact"/>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val="en-US" w:eastAsia="zh-CN"/>
              </w:rPr>
              <w:t xml:space="preserve">技术职称            </w:t>
            </w:r>
          </w:p>
        </w:tc>
        <w:tc>
          <w:tcPr>
            <w:tcW w:w="1048" w:type="dxa"/>
            <w:gridSpan w:val="2"/>
            <w:vAlign w:val="center"/>
          </w:tcPr>
          <w:p>
            <w:pPr>
              <w:spacing w:line="400" w:lineRule="exact"/>
              <w:jc w:val="center"/>
              <w:rPr>
                <w:rFonts w:asciiTheme="minorEastAsia" w:hAnsiTheme="minorEastAsia" w:eastAsiaTheme="minorEastAsia"/>
                <w:color w:val="auto"/>
                <w:sz w:val="21"/>
                <w:szCs w:val="21"/>
                <w:highlight w:val="none"/>
              </w:rPr>
            </w:pPr>
          </w:p>
        </w:tc>
        <w:tc>
          <w:tcPr>
            <w:tcW w:w="958"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学历</w:t>
            </w:r>
          </w:p>
        </w:tc>
        <w:tc>
          <w:tcPr>
            <w:tcW w:w="1065" w:type="dxa"/>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拟在本项目任职</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工作年限</w:t>
            </w:r>
          </w:p>
        </w:tc>
        <w:tc>
          <w:tcPr>
            <w:tcW w:w="3071" w:type="dxa"/>
            <w:gridSpan w:val="4"/>
            <w:vAlign w:val="center"/>
          </w:tcPr>
          <w:p>
            <w:pPr>
              <w:spacing w:line="400" w:lineRule="exact"/>
              <w:jc w:val="center"/>
              <w:rPr>
                <w:rFonts w:asciiTheme="minorEastAsia" w:hAnsiTheme="minorEastAsia" w:eastAsiaTheme="minorEastAsia"/>
                <w:color w:val="auto"/>
                <w:sz w:val="21"/>
                <w:szCs w:val="21"/>
                <w:highlight w:val="none"/>
              </w:rPr>
            </w:pPr>
          </w:p>
        </w:tc>
        <w:tc>
          <w:tcPr>
            <w:tcW w:w="2368" w:type="dxa"/>
            <w:gridSpan w:val="3"/>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从事监理工作年限</w:t>
            </w:r>
          </w:p>
        </w:tc>
        <w:tc>
          <w:tcPr>
            <w:tcW w:w="1896" w:type="dxa"/>
            <w:vAlign w:val="center"/>
          </w:tcPr>
          <w:p>
            <w:pPr>
              <w:spacing w:line="400" w:lineRule="exact"/>
              <w:jc w:val="center"/>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毕业学校</w:t>
            </w:r>
          </w:p>
        </w:tc>
        <w:tc>
          <w:tcPr>
            <w:tcW w:w="7335" w:type="dxa"/>
            <w:gridSpan w:val="8"/>
            <w:vAlign w:val="center"/>
          </w:tcPr>
          <w:p>
            <w:pPr>
              <w:spacing w:before="100" w:beforeAutospacing="1" w:after="100" w:afterAutospacing="1" w:line="400" w:lineRule="exact"/>
              <w:ind w:firstLine="1155" w:firstLineChars="55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before="100" w:beforeAutospacing="1" w:after="100" w:afterAutospacing="1" w:line="400" w:lineRule="exact"/>
              <w:jc w:val="left"/>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时  间</w:t>
            </w:r>
          </w:p>
        </w:tc>
        <w:tc>
          <w:tcPr>
            <w:tcW w:w="3420" w:type="dxa"/>
            <w:gridSpan w:val="4"/>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参加过的类似项目</w:t>
            </w:r>
          </w:p>
        </w:tc>
        <w:tc>
          <w:tcPr>
            <w:tcW w:w="1261" w:type="dxa"/>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担任职务</w:t>
            </w:r>
          </w:p>
        </w:tc>
        <w:tc>
          <w:tcPr>
            <w:tcW w:w="2297" w:type="dxa"/>
            <w:gridSpan w:val="2"/>
            <w:vAlign w:val="center"/>
          </w:tcPr>
          <w:p>
            <w:pPr>
              <w:spacing w:before="100" w:beforeAutospacing="1" w:after="100" w:afterAutospacing="1" w:line="400" w:lineRule="exact"/>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tcPr>
          <w:p>
            <w:pPr>
              <w:spacing w:line="400" w:lineRule="exact"/>
              <w:rPr>
                <w:rFonts w:asciiTheme="minorEastAsia" w:hAnsiTheme="minorEastAsia" w:eastAsiaTheme="minorEastAsia"/>
                <w:color w:val="auto"/>
                <w:sz w:val="21"/>
                <w:szCs w:val="21"/>
                <w:highlight w:val="none"/>
              </w:rPr>
            </w:pPr>
          </w:p>
        </w:tc>
        <w:tc>
          <w:tcPr>
            <w:tcW w:w="3420" w:type="dxa"/>
            <w:gridSpan w:val="4"/>
          </w:tcPr>
          <w:p>
            <w:pPr>
              <w:spacing w:line="400" w:lineRule="exact"/>
              <w:rPr>
                <w:rFonts w:asciiTheme="minorEastAsia" w:hAnsiTheme="minorEastAsia" w:eastAsiaTheme="minorEastAsia"/>
                <w:color w:val="auto"/>
                <w:sz w:val="21"/>
                <w:szCs w:val="21"/>
                <w:highlight w:val="none"/>
              </w:rPr>
            </w:pPr>
          </w:p>
        </w:tc>
        <w:tc>
          <w:tcPr>
            <w:tcW w:w="1261" w:type="dxa"/>
          </w:tcPr>
          <w:p>
            <w:pPr>
              <w:spacing w:line="400" w:lineRule="exact"/>
              <w:rPr>
                <w:rFonts w:asciiTheme="minorEastAsia" w:hAnsiTheme="minorEastAsia" w:eastAsiaTheme="minorEastAsia"/>
                <w:color w:val="auto"/>
                <w:sz w:val="21"/>
                <w:szCs w:val="21"/>
                <w:highlight w:val="none"/>
              </w:rPr>
            </w:pPr>
          </w:p>
        </w:tc>
        <w:tc>
          <w:tcPr>
            <w:tcW w:w="2297" w:type="dxa"/>
            <w:gridSpan w:val="2"/>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gridSpan w:val="2"/>
            <w:vAlign w:val="center"/>
          </w:tcPr>
          <w:p>
            <w:pPr>
              <w:spacing w:line="400" w:lineRule="exact"/>
              <w:rPr>
                <w:rFonts w:asciiTheme="minorEastAsia" w:hAnsiTheme="minorEastAsia" w:eastAsiaTheme="minorEastAsia"/>
                <w:color w:val="auto"/>
                <w:sz w:val="21"/>
                <w:szCs w:val="21"/>
                <w:highlight w:val="none"/>
              </w:rPr>
            </w:pPr>
          </w:p>
        </w:tc>
        <w:tc>
          <w:tcPr>
            <w:tcW w:w="3420" w:type="dxa"/>
            <w:gridSpan w:val="4"/>
            <w:vAlign w:val="center"/>
          </w:tcPr>
          <w:p>
            <w:pPr>
              <w:spacing w:line="400" w:lineRule="exact"/>
              <w:rPr>
                <w:rFonts w:asciiTheme="minorEastAsia" w:hAnsiTheme="minorEastAsia" w:eastAsiaTheme="minorEastAsia"/>
                <w:color w:val="auto"/>
                <w:sz w:val="21"/>
                <w:szCs w:val="21"/>
                <w:highlight w:val="none"/>
              </w:rPr>
            </w:pPr>
          </w:p>
        </w:tc>
        <w:tc>
          <w:tcPr>
            <w:tcW w:w="1261" w:type="dxa"/>
            <w:vAlign w:val="center"/>
          </w:tcPr>
          <w:p>
            <w:pPr>
              <w:spacing w:line="400" w:lineRule="exact"/>
              <w:rPr>
                <w:rFonts w:asciiTheme="minorEastAsia" w:hAnsiTheme="minorEastAsia" w:eastAsiaTheme="minorEastAsia"/>
                <w:color w:val="auto"/>
                <w:sz w:val="21"/>
                <w:szCs w:val="21"/>
                <w:highlight w:val="none"/>
              </w:rPr>
            </w:pPr>
          </w:p>
        </w:tc>
        <w:tc>
          <w:tcPr>
            <w:tcW w:w="2297" w:type="dxa"/>
            <w:gridSpan w:val="2"/>
            <w:vAlign w:val="center"/>
          </w:tcPr>
          <w:p>
            <w:pPr>
              <w:spacing w:line="400" w:lineRule="exact"/>
              <w:rPr>
                <w:rFonts w:asciiTheme="minorEastAsia" w:hAnsiTheme="minorEastAsia" w:eastAsiaTheme="minorEastAsia"/>
                <w:color w:val="auto"/>
                <w:sz w:val="21"/>
                <w:szCs w:val="21"/>
                <w:highlight w:val="none"/>
              </w:rPr>
            </w:pPr>
          </w:p>
        </w:tc>
      </w:tr>
    </w:tbl>
    <w:p>
      <w:pPr>
        <w:spacing w:line="360" w:lineRule="auto"/>
        <w:ind w:firstLine="420" w:firstLineChars="200"/>
        <w:rPr>
          <w:rFonts w:asciiTheme="minorEastAsia" w:hAnsiTheme="minorEastAsia" w:eastAsiaTheme="minorEastAsia"/>
          <w:color w:val="auto"/>
          <w:highlight w:val="none"/>
        </w:rPr>
      </w:pPr>
    </w:p>
    <w:p>
      <w:pPr>
        <w:spacing w:line="360" w:lineRule="auto"/>
        <w:ind w:firstLine="420" w:firstLineChars="200"/>
        <w:rPr>
          <w:rFonts w:asciiTheme="minorEastAsia" w:hAnsiTheme="minorEastAsia" w:eastAsiaTheme="minorEastAsia"/>
          <w:color w:val="auto"/>
          <w:highlight w:val="none"/>
        </w:rPr>
      </w:pPr>
      <w:r>
        <w:rPr>
          <w:rFonts w:asciiTheme="minorEastAsia" w:hAnsiTheme="minorEastAsia" w:eastAsiaTheme="minorEastAsia"/>
          <w:color w:val="auto"/>
          <w:highlight w:val="none"/>
        </w:rPr>
        <w:t>注：</w:t>
      </w:r>
      <w:r>
        <w:rPr>
          <w:rFonts w:hint="eastAsia" w:asciiTheme="minorEastAsia" w:hAnsiTheme="minorEastAsia" w:eastAsiaTheme="minorEastAsia"/>
          <w:color w:val="auto"/>
          <w:highlight w:val="none"/>
        </w:rPr>
        <w:t>总监理工程师资格要求、其他主要人员要求</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在本表后附相关证明材料。</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spacing w:before="0" w:after="0" w:line="360" w:lineRule="auto"/>
        <w:jc w:val="both"/>
        <w:outlineLvl w:val="0"/>
        <w:rPr>
          <w:rFonts w:hint="eastAsia" w:cs="Times New Roman" w:asciiTheme="minorEastAsia" w:hAnsiTheme="minorEastAsia" w:eastAsiaTheme="minorEastAsia"/>
          <w:b/>
          <w:bCs/>
          <w:color w:val="auto"/>
          <w:kern w:val="2"/>
          <w:sz w:val="28"/>
          <w:szCs w:val="20"/>
          <w:highlight w:val="none"/>
          <w:lang w:val="en-US" w:eastAsia="zh-CN" w:bidi="ar-SA"/>
        </w:rPr>
      </w:pPr>
      <w:bookmarkStart w:id="73" w:name="_Toc15382"/>
      <w:r>
        <w:rPr>
          <w:rFonts w:hint="eastAsia" w:cs="Times New Roman" w:asciiTheme="minorEastAsia" w:hAnsiTheme="minorEastAsia" w:eastAsiaTheme="minorEastAsia"/>
          <w:b/>
          <w:bCs/>
          <w:color w:val="auto"/>
          <w:kern w:val="2"/>
          <w:sz w:val="28"/>
          <w:szCs w:val="20"/>
          <w:highlight w:val="none"/>
          <w:lang w:val="en-US" w:eastAsia="zh-CN" w:bidi="ar-SA"/>
        </w:rPr>
        <w:t>5、承诺</w:t>
      </w:r>
      <w:bookmarkEnd w:id="73"/>
    </w:p>
    <w:p>
      <w:pPr>
        <w:jc w:val="center"/>
        <w:rPr>
          <w:rFonts w:hint="default"/>
          <w:color w:val="auto"/>
          <w:highlight w:val="none"/>
          <w:lang w:val="en-US" w:eastAsia="zh-CN"/>
        </w:rPr>
      </w:pPr>
      <w:r>
        <w:rPr>
          <w:rFonts w:hint="eastAsia"/>
          <w:b/>
          <w:bCs/>
          <w:color w:val="auto"/>
          <w:sz w:val="32"/>
          <w:szCs w:val="32"/>
          <w:highlight w:val="none"/>
          <w:lang w:val="en-US" w:eastAsia="zh-CN"/>
        </w:rPr>
        <w:t>承  诺</w:t>
      </w:r>
    </w:p>
    <w:p>
      <w:pPr>
        <w:keepNext w:val="0"/>
        <w:keepLines w:val="0"/>
        <w:pageBreakBefore w:val="0"/>
        <w:kinsoku/>
        <w:wordWrap/>
        <w:overflowPunct/>
        <w:topLinePunct w:val="0"/>
        <w:bidi w:val="0"/>
        <w:snapToGrid w:val="0"/>
        <w:spacing w:line="360" w:lineRule="auto"/>
        <w:textAlignment w:val="auto"/>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我公司</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供应商</w:t>
      </w:r>
      <w:r>
        <w:rPr>
          <w:rFonts w:hint="eastAsia" w:ascii="宋体" w:hAnsi="宋体"/>
          <w:color w:val="auto"/>
          <w:sz w:val="21"/>
          <w:szCs w:val="21"/>
          <w:highlight w:val="none"/>
          <w:u w:val="single"/>
        </w:rPr>
        <w:t>名称）</w:t>
      </w:r>
      <w:r>
        <w:rPr>
          <w:rFonts w:hint="eastAsia" w:ascii="宋体" w:hAnsi="宋体"/>
          <w:color w:val="auto"/>
          <w:sz w:val="21"/>
          <w:szCs w:val="21"/>
          <w:highlight w:val="none"/>
        </w:rPr>
        <w:t>参加了贵单位</w:t>
      </w:r>
      <w:r>
        <w:rPr>
          <w:rFonts w:hint="eastAsia" w:ascii="宋体" w:hAnsi="宋体"/>
          <w:color w:val="auto"/>
          <w:sz w:val="21"/>
          <w:szCs w:val="21"/>
          <w:highlight w:val="none"/>
          <w:u w:val="single"/>
        </w:rPr>
        <w:t xml:space="preserve">        （项目名称）</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，自愿作出以下承诺：</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.报价</w:t>
      </w:r>
      <w:r>
        <w:rPr>
          <w:rFonts w:hint="eastAsia" w:ascii="宋体" w:hAnsi="宋体"/>
          <w:color w:val="auto"/>
          <w:sz w:val="21"/>
          <w:szCs w:val="21"/>
          <w:highlight w:val="none"/>
        </w:rPr>
        <w:t>截止日投标资格情况不存在下列情形之一：</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被人民法院列入失信被执行人名单且在被执行期内；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被列入《重庆市工程建设领域招标投标信用管理暂行办法》规定的重点关注名单且记分达到12分且在记分有效期内；</w:t>
      </w:r>
    </w:p>
    <w:p>
      <w:pPr>
        <w:keepNext w:val="0"/>
        <w:keepLines w:val="0"/>
        <w:pageBreakBefore w:val="0"/>
        <w:kinsoku/>
        <w:wordWrap/>
        <w:overflowPunct/>
        <w:topLinePunct w:val="0"/>
        <w:bidi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1.3</w:t>
      </w:r>
      <w:r>
        <w:rPr>
          <w:rFonts w:hint="eastAsia" w:ascii="宋体" w:hAnsi="宋体"/>
          <w:color w:val="auto"/>
          <w:sz w:val="21"/>
          <w:szCs w:val="21"/>
          <w:highlight w:val="none"/>
        </w:rPr>
        <w:t>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被国家、重庆市（含市或任意区县）有关</w:t>
      </w:r>
      <w:r>
        <w:rPr>
          <w:rFonts w:hint="eastAsia" w:ascii="宋体" w:hAnsi="宋体"/>
          <w:color w:val="auto"/>
          <w:sz w:val="21"/>
          <w:szCs w:val="21"/>
          <w:highlight w:val="none"/>
          <w:lang w:val="en-US" w:eastAsia="zh-CN"/>
        </w:rPr>
        <w:t>行政</w:t>
      </w:r>
      <w:r>
        <w:rPr>
          <w:rFonts w:hint="eastAsia" w:ascii="宋体" w:hAnsi="宋体"/>
          <w:color w:val="auto"/>
          <w:sz w:val="21"/>
          <w:szCs w:val="21"/>
          <w:highlight w:val="none"/>
        </w:rPr>
        <w:t>部门处以</w:t>
      </w:r>
      <w:r>
        <w:rPr>
          <w:rFonts w:hint="eastAsia" w:ascii="宋体" w:hAnsi="宋体"/>
          <w:color w:val="auto"/>
          <w:sz w:val="21"/>
          <w:szCs w:val="21"/>
          <w:highlight w:val="none"/>
          <w:lang w:val="en-US" w:eastAsia="zh-CN"/>
        </w:rPr>
        <w:t>取消（或暂停）</w:t>
      </w:r>
      <w:r>
        <w:rPr>
          <w:rFonts w:hint="eastAsia" w:ascii="宋体" w:hAnsi="宋体"/>
          <w:color w:val="auto"/>
          <w:sz w:val="21"/>
          <w:szCs w:val="21"/>
          <w:highlight w:val="none"/>
        </w:rPr>
        <w:t>投标资格处罚</w:t>
      </w:r>
      <w:r>
        <w:rPr>
          <w:rFonts w:hint="eastAsia" w:ascii="宋体" w:hAnsi="宋体"/>
          <w:color w:val="auto"/>
          <w:sz w:val="21"/>
          <w:szCs w:val="21"/>
          <w:highlight w:val="none"/>
          <w:lang w:val="en-US" w:eastAsia="zh-CN"/>
        </w:rPr>
        <w:t>或禁止从业处罚或暂停在渝承揽新业务处罚</w:t>
      </w:r>
      <w:r>
        <w:rPr>
          <w:rFonts w:hint="eastAsia" w:ascii="宋体" w:hAnsi="宋体"/>
          <w:color w:val="auto"/>
          <w:sz w:val="21"/>
          <w:szCs w:val="21"/>
          <w:highlight w:val="none"/>
        </w:rPr>
        <w:t>，且在处罚期限内。</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我公司承诺拟派总监理工程师到岗履职</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未被</w:t>
      </w:r>
      <w:r>
        <w:rPr>
          <w:rFonts w:hint="eastAsia" w:asciiTheme="minorEastAsia" w:hAnsiTheme="minorEastAsia" w:eastAsiaTheme="minorEastAsia" w:cstheme="minorEastAsia"/>
          <w:color w:val="auto"/>
          <w:sz w:val="21"/>
          <w:szCs w:val="21"/>
          <w:highlight w:val="none"/>
          <w:lang w:val="en-US" w:eastAsia="zh-CN"/>
        </w:rPr>
        <w:t>取消（或暂停）</w:t>
      </w:r>
      <w:r>
        <w:rPr>
          <w:rFonts w:hint="eastAsia" w:asciiTheme="minorEastAsia" w:hAnsiTheme="minorEastAsia" w:eastAsiaTheme="minorEastAsia" w:cstheme="minorEastAsia"/>
          <w:color w:val="auto"/>
          <w:sz w:val="21"/>
          <w:szCs w:val="21"/>
          <w:highlight w:val="none"/>
        </w:rPr>
        <w:t>投标</w:t>
      </w:r>
      <w:r>
        <w:rPr>
          <w:rFonts w:hint="eastAsia" w:asciiTheme="minorEastAsia" w:hAnsiTheme="minorEastAsia" w:eastAsiaTheme="minorEastAsia" w:cstheme="minorEastAsia"/>
          <w:color w:val="auto"/>
          <w:sz w:val="21"/>
          <w:szCs w:val="21"/>
          <w:highlight w:val="none"/>
          <w:lang w:val="en-US" w:eastAsia="zh-CN"/>
        </w:rPr>
        <w:t>资格和未被禁止从业</w:t>
      </w:r>
      <w:r>
        <w:rPr>
          <w:rFonts w:hint="eastAsia" w:ascii="宋体" w:hAnsi="宋体"/>
          <w:color w:val="auto"/>
          <w:sz w:val="21"/>
          <w:szCs w:val="21"/>
          <w:highlight w:val="none"/>
        </w:rPr>
        <w:t>。</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w:t>
      </w:r>
      <w:r>
        <w:rPr>
          <w:rFonts w:hint="eastAsia" w:ascii="宋体" w:hAnsi="宋体"/>
          <w:color w:val="auto"/>
          <w:sz w:val="21"/>
          <w:szCs w:val="21"/>
          <w:highlight w:val="none"/>
          <w:lang w:val="en-US" w:eastAsia="zh-CN"/>
        </w:rPr>
        <w:t>在</w:t>
      </w:r>
      <w:r>
        <w:rPr>
          <w:rFonts w:hint="eastAsia" w:ascii="宋体" w:hAnsi="宋体"/>
          <w:color w:val="auto"/>
          <w:sz w:val="21"/>
          <w:szCs w:val="21"/>
          <w:highlight w:val="none"/>
        </w:rPr>
        <w:t>本项目</w:t>
      </w:r>
      <w:r>
        <w:rPr>
          <w:rFonts w:hint="eastAsia" w:ascii="宋体" w:hAnsi="宋体"/>
          <w:color w:val="auto"/>
          <w:sz w:val="21"/>
          <w:szCs w:val="21"/>
          <w:highlight w:val="none"/>
          <w:lang w:val="en-US" w:eastAsia="zh-CN"/>
        </w:rPr>
        <w:t>到岗履职</w:t>
      </w:r>
      <w:r>
        <w:rPr>
          <w:rFonts w:hint="eastAsia" w:ascii="宋体" w:hAnsi="宋体"/>
          <w:color w:val="auto"/>
          <w:sz w:val="21"/>
          <w:szCs w:val="21"/>
          <w:highlight w:val="none"/>
        </w:rPr>
        <w:t>，签订合同时拟派的总监理工程师与</w:t>
      </w:r>
      <w:r>
        <w:rPr>
          <w:rFonts w:hint="eastAsia" w:ascii="宋体" w:hAnsi="宋体"/>
          <w:color w:val="auto"/>
          <w:sz w:val="21"/>
          <w:szCs w:val="21"/>
          <w:highlight w:val="none"/>
          <w:lang w:eastAsia="zh-CN"/>
        </w:rPr>
        <w:t>报价文件</w:t>
      </w:r>
      <w:r>
        <w:rPr>
          <w:rFonts w:hint="eastAsia" w:ascii="宋体" w:hAnsi="宋体"/>
          <w:color w:val="auto"/>
          <w:sz w:val="21"/>
          <w:szCs w:val="21"/>
          <w:highlight w:val="none"/>
        </w:rPr>
        <w:t>中的总监理工程师一致，并满足办理相关手续的要求。不能按承诺到岗</w:t>
      </w:r>
      <w:r>
        <w:rPr>
          <w:rFonts w:hint="eastAsia" w:ascii="宋体" w:hAnsi="宋体"/>
          <w:color w:val="auto"/>
          <w:sz w:val="21"/>
          <w:szCs w:val="21"/>
          <w:highlight w:val="none"/>
          <w:lang w:val="en-US" w:eastAsia="zh-CN"/>
        </w:rPr>
        <w:t>履职</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按合同相关条款</w:t>
      </w:r>
      <w:r>
        <w:rPr>
          <w:rFonts w:hint="eastAsia" w:ascii="宋体" w:hAnsi="宋体"/>
          <w:color w:val="auto"/>
          <w:sz w:val="21"/>
          <w:szCs w:val="21"/>
          <w:highlight w:val="none"/>
          <w:lang w:val="en-US" w:eastAsia="zh-CN"/>
        </w:rPr>
        <w:t>要求我公司承担责任</w:t>
      </w:r>
      <w:r>
        <w:rPr>
          <w:rFonts w:hint="eastAsia" w:ascii="宋体" w:hAnsi="宋体"/>
          <w:color w:val="auto"/>
          <w:sz w:val="21"/>
          <w:szCs w:val="21"/>
          <w:highlight w:val="none"/>
        </w:rPr>
        <w:t>并上报</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部门，给贵单位造成损失的，我公司依法承担赔偿责任或违约责任。拟派总监理工程师</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后不得随意更换。</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拟派总监理工程师未被重庆市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含市或任意区县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有关</w:t>
      </w:r>
      <w:r>
        <w:rPr>
          <w:rFonts w:hint="eastAsia" w:asciiTheme="minorEastAsia" w:hAnsiTheme="minorEastAsia" w:eastAsiaTheme="minorEastAsia" w:cstheme="minorEastAsia"/>
          <w:color w:val="auto"/>
          <w:sz w:val="21"/>
          <w:szCs w:val="21"/>
          <w:highlight w:val="none"/>
          <w:lang w:val="en-US" w:eastAsia="zh-CN"/>
        </w:rPr>
        <w:t>行政</w:t>
      </w:r>
      <w:r>
        <w:rPr>
          <w:rFonts w:hint="eastAsia" w:ascii="宋体" w:hAnsi="宋体"/>
          <w:color w:val="auto"/>
          <w:sz w:val="21"/>
          <w:szCs w:val="21"/>
          <w:highlight w:val="none"/>
        </w:rPr>
        <w:t>部门</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。若被</w:t>
      </w:r>
      <w:r>
        <w:rPr>
          <w:rFonts w:hint="eastAsia" w:asciiTheme="minorEastAsia" w:hAnsiTheme="minorEastAsia" w:eastAsiaTheme="minorEastAsia" w:cstheme="minorEastAsia"/>
          <w:color w:val="auto"/>
          <w:sz w:val="21"/>
          <w:szCs w:val="21"/>
          <w:highlight w:val="none"/>
          <w:lang w:val="en-US" w:eastAsia="zh-CN"/>
        </w:rPr>
        <w:t>取消（或暂停）投标资格或禁止从业</w:t>
      </w:r>
      <w:r>
        <w:rPr>
          <w:rFonts w:hint="eastAsia" w:ascii="宋体" w:hAnsi="宋体"/>
          <w:color w:val="auto"/>
          <w:sz w:val="21"/>
          <w:szCs w:val="21"/>
          <w:highlight w:val="none"/>
        </w:rPr>
        <w:t>但仍参加投标，将被否决投标；已取得</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资格的，贵单位有权取消其</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候选人资格或</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资格；给贵单位造成损失的，我公司依法承担赔偿责任或违约责任。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3.1</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部门的要求组建项目监理部，配置项目专业监理工程师，出具任命文件。任命文件明确专业监理工程师的职责、岗位设置、人员配备，并书面通知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。专业监理工程师应持有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3.2</w:t>
      </w:r>
      <w:r>
        <w:rPr>
          <w:rFonts w:hint="eastAsia" w:ascii="宋体" w:hAnsi="宋体"/>
          <w:color w:val="auto"/>
          <w:sz w:val="21"/>
          <w:szCs w:val="21"/>
          <w:highlight w:val="none"/>
        </w:rPr>
        <w:t>我公司若</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，在签订合同之前，将按照</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部门的要求组建项目监理部，配置项目监理员，出具任命文件。任命文件明确监理员的职责、岗位设置、人员配备，并书面通知</w:t>
      </w:r>
      <w:r>
        <w:rPr>
          <w:rFonts w:hint="eastAsia" w:ascii="宋体" w:hAnsi="宋体"/>
          <w:color w:val="auto"/>
          <w:sz w:val="21"/>
          <w:szCs w:val="21"/>
          <w:highlight w:val="none"/>
          <w:lang w:val="en-US" w:eastAsia="zh-CN"/>
        </w:rPr>
        <w:t>贵单位</w:t>
      </w:r>
      <w:r>
        <w:rPr>
          <w:rFonts w:hint="eastAsia" w:ascii="宋体" w:hAnsi="宋体"/>
          <w:color w:val="auto"/>
          <w:sz w:val="21"/>
          <w:szCs w:val="21"/>
          <w:highlight w:val="none"/>
        </w:rPr>
        <w:t>。监理员应持有</w:t>
      </w:r>
      <w:r>
        <w:rPr>
          <w:rFonts w:hint="eastAsia" w:ascii="宋体" w:hAnsi="宋体"/>
          <w:color w:val="auto"/>
          <w:sz w:val="21"/>
          <w:szCs w:val="21"/>
          <w:highlight w:val="none"/>
          <w:lang w:val="en-US" w:eastAsia="zh-CN"/>
        </w:rPr>
        <w:t>有关行政</w:t>
      </w:r>
      <w:r>
        <w:rPr>
          <w:rFonts w:hint="eastAsia" w:ascii="宋体" w:hAnsi="宋体"/>
          <w:color w:val="auto"/>
          <w:sz w:val="21"/>
          <w:szCs w:val="21"/>
          <w:highlight w:val="none"/>
        </w:rPr>
        <w:t>部门要求的证书，并提供</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为其缴纳的养老保险证明材料。</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后不能满足该要求的，</w:t>
      </w:r>
      <w:r>
        <w:rPr>
          <w:rFonts w:hint="eastAsia" w:ascii="宋体" w:hAnsi="宋体"/>
          <w:color w:val="auto"/>
          <w:sz w:val="21"/>
          <w:szCs w:val="21"/>
          <w:highlight w:val="none"/>
          <w:lang w:val="en-US" w:eastAsia="zh-CN"/>
        </w:rPr>
        <w:t>贵单位可</w:t>
      </w:r>
      <w:r>
        <w:rPr>
          <w:rFonts w:hint="eastAsia" w:ascii="宋体" w:hAnsi="宋体"/>
          <w:color w:val="auto"/>
          <w:sz w:val="21"/>
          <w:szCs w:val="21"/>
          <w:highlight w:val="none"/>
        </w:rPr>
        <w:t>取消我公司</w:t>
      </w:r>
      <w:r>
        <w:rPr>
          <w:rFonts w:hint="eastAsia" w:ascii="宋体" w:hAnsi="宋体"/>
          <w:color w:val="auto"/>
          <w:sz w:val="21"/>
          <w:szCs w:val="21"/>
          <w:highlight w:val="none"/>
          <w:lang w:eastAsia="zh-CN"/>
        </w:rPr>
        <w:t>成交</w:t>
      </w:r>
      <w:r>
        <w:rPr>
          <w:rFonts w:hint="eastAsia" w:ascii="宋体" w:hAnsi="宋体"/>
          <w:color w:val="auto"/>
          <w:sz w:val="21"/>
          <w:szCs w:val="21"/>
          <w:highlight w:val="none"/>
        </w:rPr>
        <w:t>资格；</w:t>
      </w:r>
      <w:r>
        <w:rPr>
          <w:rFonts w:hint="eastAsia"/>
          <w:color w:val="auto"/>
          <w:sz w:val="21"/>
          <w:szCs w:val="21"/>
          <w:highlight w:val="none"/>
        </w:rPr>
        <w:t>签订合同后不满足该要求的，</w:t>
      </w:r>
      <w:r>
        <w:rPr>
          <w:rFonts w:hint="eastAsia"/>
          <w:color w:val="auto"/>
          <w:sz w:val="21"/>
          <w:szCs w:val="21"/>
          <w:highlight w:val="none"/>
          <w:lang w:val="en-US" w:eastAsia="zh-CN"/>
        </w:rPr>
        <w:t>贵单位</w:t>
      </w:r>
      <w:r>
        <w:rPr>
          <w:rFonts w:hint="eastAsia"/>
          <w:color w:val="auto"/>
          <w:sz w:val="21"/>
          <w:szCs w:val="21"/>
          <w:highlight w:val="none"/>
        </w:rPr>
        <w:t>按合同相关条款</w:t>
      </w:r>
      <w:r>
        <w:rPr>
          <w:rFonts w:hint="eastAsia"/>
          <w:color w:val="auto"/>
          <w:sz w:val="21"/>
          <w:szCs w:val="21"/>
          <w:highlight w:val="none"/>
          <w:lang w:val="en-US" w:eastAsia="zh-CN"/>
        </w:rPr>
        <w:t>要求我公司承担责任</w:t>
      </w:r>
      <w:r>
        <w:rPr>
          <w:rFonts w:hint="eastAsia"/>
          <w:color w:val="auto"/>
          <w:sz w:val="21"/>
          <w:szCs w:val="21"/>
          <w:highlight w:val="none"/>
        </w:rPr>
        <w:t>并上报</w:t>
      </w:r>
      <w:r>
        <w:rPr>
          <w:rFonts w:hint="eastAsia"/>
          <w:color w:val="auto"/>
          <w:sz w:val="21"/>
          <w:szCs w:val="21"/>
          <w:highlight w:val="none"/>
          <w:lang w:val="en-US" w:eastAsia="zh-CN"/>
        </w:rPr>
        <w:t>有关行政</w:t>
      </w:r>
      <w:r>
        <w:rPr>
          <w:rFonts w:hint="eastAsia"/>
          <w:color w:val="auto"/>
          <w:sz w:val="21"/>
          <w:szCs w:val="21"/>
          <w:highlight w:val="none"/>
        </w:rPr>
        <w:t>部门；</w:t>
      </w:r>
      <w:r>
        <w:rPr>
          <w:rFonts w:hint="eastAsia" w:ascii="宋体" w:hAnsi="宋体"/>
          <w:color w:val="auto"/>
          <w:sz w:val="21"/>
          <w:szCs w:val="21"/>
          <w:highlight w:val="none"/>
        </w:rPr>
        <w:t>给</w:t>
      </w:r>
      <w:r>
        <w:rPr>
          <w:rFonts w:hint="eastAsia" w:ascii="宋体" w:hAnsi="宋体"/>
          <w:color w:val="auto"/>
          <w:sz w:val="21"/>
          <w:szCs w:val="21"/>
          <w:highlight w:val="none"/>
          <w:lang w:eastAsia="zh-CN"/>
        </w:rPr>
        <w:t>贵单位</w:t>
      </w:r>
      <w:r>
        <w:rPr>
          <w:rFonts w:hint="eastAsia" w:ascii="宋体" w:hAnsi="宋体"/>
          <w:color w:val="auto"/>
          <w:sz w:val="21"/>
          <w:szCs w:val="21"/>
          <w:highlight w:val="none"/>
        </w:rPr>
        <w:t>造成损失的，我公司依法承担赔偿责任或违约责任。</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我公司在资格审查部分和商务部分中提供的相关证明材料真实有效，不存在弄虚作假情形。</w:t>
      </w:r>
      <w:r>
        <w:rPr>
          <w:rFonts w:hint="eastAsia" w:ascii="宋体" w:hAnsi="宋体"/>
          <w:color w:val="auto"/>
          <w:sz w:val="21"/>
          <w:szCs w:val="21"/>
          <w:highlight w:val="none"/>
          <w:u w:val="single"/>
          <w:lang w:eastAsia="zh-CN"/>
        </w:rPr>
        <w:t>贵单位</w:t>
      </w:r>
      <w:r>
        <w:rPr>
          <w:rFonts w:hint="eastAsia" w:ascii="宋体" w:hAnsi="宋体"/>
          <w:color w:val="auto"/>
          <w:sz w:val="21"/>
          <w:szCs w:val="21"/>
          <w:highlight w:val="none"/>
          <w:u w:val="single"/>
        </w:rPr>
        <w:t>在合同签订前均有权对我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司提供的资料进行核实，若发现弄虚作假，</w:t>
      </w:r>
      <w:r>
        <w:rPr>
          <w:rFonts w:hint="eastAsia" w:ascii="宋体" w:hAnsi="宋体"/>
          <w:color w:val="auto"/>
          <w:sz w:val="21"/>
          <w:szCs w:val="21"/>
          <w:highlight w:val="none"/>
          <w:u w:val="single"/>
          <w:lang w:val="en-US" w:eastAsia="zh-CN"/>
        </w:rPr>
        <w:t>按相关规定</w:t>
      </w:r>
      <w:r>
        <w:rPr>
          <w:rFonts w:hint="eastAsia" w:ascii="宋体" w:hAnsi="宋体"/>
          <w:color w:val="auto"/>
          <w:sz w:val="21"/>
          <w:szCs w:val="21"/>
          <w:highlight w:val="none"/>
          <w:u w:val="single"/>
        </w:rPr>
        <w:t>取消</w:t>
      </w:r>
      <w:r>
        <w:rPr>
          <w:rFonts w:hint="eastAsia" w:ascii="宋体" w:hAnsi="宋体"/>
          <w:color w:val="auto"/>
          <w:sz w:val="21"/>
          <w:szCs w:val="21"/>
          <w:highlight w:val="none"/>
          <w:u w:val="single"/>
          <w:lang w:val="en-US" w:eastAsia="zh-CN"/>
        </w:rPr>
        <w:t>我公司的</w:t>
      </w:r>
      <w:r>
        <w:rPr>
          <w:rFonts w:hint="eastAsia" w:ascii="宋体" w:hAnsi="宋体"/>
          <w:color w:val="auto"/>
          <w:sz w:val="21"/>
          <w:szCs w:val="21"/>
          <w:highlight w:val="none"/>
          <w:u w:val="single"/>
          <w:lang w:eastAsia="zh-CN"/>
        </w:rPr>
        <w:t>成交</w:t>
      </w:r>
      <w:r>
        <w:rPr>
          <w:rFonts w:hint="eastAsia" w:ascii="宋体" w:hAnsi="宋体"/>
          <w:color w:val="auto"/>
          <w:sz w:val="21"/>
          <w:szCs w:val="21"/>
          <w:highlight w:val="none"/>
          <w:u w:val="single"/>
        </w:rPr>
        <w:t>资格，并按相关法律法规报招标投标监督部门，投标保证金</w:t>
      </w:r>
      <w:r>
        <w:rPr>
          <w:rFonts w:hint="eastAsia" w:asciiTheme="minorEastAsia" w:hAnsiTheme="minorEastAsia" w:eastAsiaTheme="minorEastAsia" w:cstheme="minorEastAsia"/>
          <w:color w:val="auto"/>
          <w:sz w:val="21"/>
          <w:szCs w:val="21"/>
          <w:highlight w:val="none"/>
          <w:u w:val="single"/>
          <w:lang w:val="en-US" w:eastAsia="zh-CN"/>
        </w:rPr>
        <w:t>以现金形式交纳的</w:t>
      </w:r>
      <w:r>
        <w:rPr>
          <w:rFonts w:hint="eastAsia" w:ascii="宋体" w:hAnsi="宋体"/>
          <w:color w:val="auto"/>
          <w:sz w:val="21"/>
          <w:szCs w:val="21"/>
          <w:highlight w:val="none"/>
          <w:u w:val="single"/>
        </w:rPr>
        <w:t>不予退还，</w:t>
      </w:r>
      <w:r>
        <w:rPr>
          <w:rFonts w:hint="eastAsia" w:asciiTheme="minorEastAsia" w:hAnsiTheme="minorEastAsia" w:eastAsiaTheme="minorEastAsia" w:cstheme="minorEastAsia"/>
          <w:color w:val="auto"/>
          <w:sz w:val="21"/>
          <w:szCs w:val="21"/>
          <w:highlight w:val="none"/>
          <w:u w:val="single"/>
        </w:rPr>
        <w:t>以保函形式交纳的由保函开立人支付保函担保的与投标保证金等额的款项</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rPr>
        <w:t>我</w:t>
      </w:r>
      <w:r>
        <w:rPr>
          <w:rFonts w:hint="eastAsia" w:ascii="宋体" w:hAnsi="宋体"/>
          <w:color w:val="auto"/>
          <w:sz w:val="21"/>
          <w:szCs w:val="21"/>
          <w:highlight w:val="none"/>
          <w:u w:val="single"/>
          <w:lang w:val="en-US" w:eastAsia="zh-CN"/>
        </w:rPr>
        <w:t>公</w:t>
      </w:r>
      <w:r>
        <w:rPr>
          <w:rFonts w:hint="eastAsia" w:ascii="宋体" w:hAnsi="宋体"/>
          <w:color w:val="auto"/>
          <w:sz w:val="21"/>
          <w:szCs w:val="21"/>
          <w:highlight w:val="none"/>
          <w:u w:val="single"/>
        </w:rPr>
        <w:t>司自愿承担因此造成的相关责任并赔偿相应损失</w:t>
      </w:r>
      <w:r>
        <w:rPr>
          <w:rFonts w:hint="eastAsia" w:ascii="宋体" w:hAnsi="宋体"/>
          <w:color w:val="auto"/>
          <w:sz w:val="21"/>
          <w:szCs w:val="21"/>
          <w:highlight w:val="none"/>
        </w:rPr>
        <w:t>。</w:t>
      </w:r>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5.我公司的报价文件询价文件的规定。</w:t>
      </w:r>
    </w:p>
    <w:p>
      <w:pPr>
        <w:keepNext w:val="0"/>
        <w:keepLines w:val="0"/>
        <w:pageBreakBefore w:val="0"/>
        <w:kinsoku/>
        <w:wordWrap/>
        <w:overflowPunct/>
        <w:topLinePunct w:val="0"/>
        <w:bidi w:val="0"/>
        <w:snapToGrid w:val="0"/>
        <w:spacing w:line="360" w:lineRule="auto"/>
        <w:ind w:firstLine="420" w:firstLineChars="200"/>
        <w:textAlignment w:val="auto"/>
        <w:rPr>
          <w:rFonts w:ascii="宋体" w:hAnsi="宋体"/>
          <w:color w:val="auto"/>
          <w:sz w:val="21"/>
          <w:szCs w:val="21"/>
          <w:highlight w:val="none"/>
        </w:rPr>
      </w:pPr>
    </w:p>
    <w:p>
      <w:pPr>
        <w:pStyle w:val="2"/>
        <w:rPr>
          <w:color w:val="auto"/>
          <w:sz w:val="21"/>
          <w:szCs w:val="21"/>
          <w:highlight w:val="none"/>
        </w:rPr>
      </w:pPr>
    </w:p>
    <w:p>
      <w:pPr>
        <w:keepNext w:val="0"/>
        <w:keepLines w:val="0"/>
        <w:pageBreakBefore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hint="eastAsia" w:ascii="宋体" w:hAnsi="宋体"/>
          <w:color w:val="auto"/>
          <w:kern w:val="0"/>
          <w:sz w:val="21"/>
          <w:szCs w:val="21"/>
          <w:highlight w:val="none"/>
          <w:lang w:eastAsia="zh-CN"/>
        </w:rPr>
        <w:t>供应商</w:t>
      </w:r>
      <w:r>
        <w:rPr>
          <w:rFonts w:ascii="宋体" w:hAnsi="宋体"/>
          <w:color w:val="auto"/>
          <w:kern w:val="0"/>
          <w:sz w:val="21"/>
          <w:szCs w:val="21"/>
          <w:highlight w:val="none"/>
        </w:rPr>
        <w:t>：</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ascii="宋体" w:hAnsi="宋体"/>
          <w:color w:val="auto"/>
          <w:spacing w:val="-1"/>
          <w:kern w:val="0"/>
          <w:sz w:val="21"/>
          <w:szCs w:val="21"/>
          <w:highlight w:val="none"/>
        </w:rPr>
        <w:t>盖单位章</w:t>
      </w:r>
      <w:r>
        <w:rPr>
          <w:rFonts w:ascii="宋体" w:hAnsi="宋体"/>
          <w:color w:val="auto"/>
          <w:kern w:val="0"/>
          <w:sz w:val="21"/>
          <w:szCs w:val="21"/>
          <w:highlight w:val="none"/>
        </w:rPr>
        <w:t>）</w:t>
      </w:r>
    </w:p>
    <w:p>
      <w:pPr>
        <w:keepNext w:val="0"/>
        <w:keepLines w:val="0"/>
        <w:pageBreakBefore w:val="0"/>
        <w:tabs>
          <w:tab w:val="left" w:pos="6300"/>
        </w:tabs>
        <w:kinsoku/>
        <w:wordWrap/>
        <w:overflowPunct/>
        <w:topLinePunct w:val="0"/>
        <w:autoSpaceDE w:val="0"/>
        <w:autoSpaceDN w:val="0"/>
        <w:bidi w:val="0"/>
        <w:adjustRightInd w:val="0"/>
        <w:snapToGrid w:val="0"/>
        <w:spacing w:line="360" w:lineRule="auto"/>
        <w:ind w:firstLine="420" w:firstLineChars="200"/>
        <w:jc w:val="left"/>
        <w:textAlignment w:val="auto"/>
        <w:rPr>
          <w:rFonts w:ascii="宋体" w:hAnsi="宋体"/>
          <w:color w:val="auto"/>
          <w:kern w:val="0"/>
          <w:sz w:val="21"/>
          <w:szCs w:val="21"/>
          <w:highlight w:val="none"/>
        </w:rPr>
      </w:pPr>
      <w:r>
        <w:rPr>
          <w:rFonts w:ascii="宋体" w:hAnsi="宋体"/>
          <w:color w:val="auto"/>
          <w:kern w:val="0"/>
          <w:sz w:val="21"/>
          <w:szCs w:val="21"/>
          <w:highlight w:val="none"/>
        </w:rPr>
        <w:t>法定代表人：</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w w:val="200"/>
          <w:kern w:val="0"/>
          <w:sz w:val="21"/>
          <w:szCs w:val="21"/>
          <w:highlight w:val="none"/>
          <w:u w:val="single"/>
        </w:rPr>
        <w:t xml:space="preserve">   </w:t>
      </w:r>
      <w:r>
        <w:rPr>
          <w:rFonts w:hint="eastAsia" w:ascii="宋体" w:hAnsi="宋体"/>
          <w:color w:val="auto"/>
          <w:w w:val="200"/>
          <w:kern w:val="0"/>
          <w:sz w:val="21"/>
          <w:szCs w:val="21"/>
          <w:highlight w:val="none"/>
          <w:u w:val="single"/>
        </w:rPr>
        <w:t xml:space="preserve"> </w:t>
      </w:r>
      <w:r>
        <w:rPr>
          <w:rFonts w:ascii="宋体" w:hAnsi="宋体"/>
          <w:color w:val="auto"/>
          <w:kern w:val="0"/>
          <w:sz w:val="21"/>
          <w:szCs w:val="21"/>
          <w:highlight w:val="none"/>
        </w:rPr>
        <w:t>（</w:t>
      </w:r>
      <w:r>
        <w:rPr>
          <w:rFonts w:hint="eastAsia" w:ascii="宋体" w:hAnsi="宋体"/>
          <w:color w:val="auto"/>
          <w:kern w:val="0"/>
          <w:sz w:val="21"/>
          <w:szCs w:val="21"/>
          <w:highlight w:val="none"/>
          <w:lang w:val="en-US" w:eastAsia="zh-CN"/>
        </w:rPr>
        <w:t>签名</w:t>
      </w:r>
      <w:r>
        <w:rPr>
          <w:rFonts w:ascii="宋体" w:hAnsi="宋体"/>
          <w:color w:val="auto"/>
          <w:kern w:val="0"/>
          <w:sz w:val="21"/>
          <w:szCs w:val="21"/>
          <w:highlight w:val="none"/>
        </w:rPr>
        <w:t>或盖章）</w:t>
      </w:r>
    </w:p>
    <w:p>
      <w:pPr>
        <w:pStyle w:val="2"/>
        <w:rPr>
          <w:color w:val="auto"/>
          <w:sz w:val="21"/>
          <w:szCs w:val="21"/>
          <w:highlight w:val="none"/>
        </w:rPr>
      </w:pPr>
    </w:p>
    <w:p>
      <w:pPr>
        <w:spacing w:line="360" w:lineRule="auto"/>
        <w:ind w:firstLine="420" w:firstLineChars="200"/>
        <w:jc w:val="right"/>
        <w:rPr>
          <w:rFonts w:ascii="宋体" w:hAnsi="宋体"/>
          <w:color w:val="auto"/>
          <w:kern w:val="0"/>
          <w:sz w:val="21"/>
          <w:szCs w:val="21"/>
          <w:highlight w:val="none"/>
        </w:rPr>
      </w:pP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年</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月</w:t>
      </w:r>
      <w:r>
        <w:rPr>
          <w:rFonts w:hint="eastAsia" w:ascii="宋体" w:hAnsi="宋体"/>
          <w:color w:val="auto"/>
          <w:kern w:val="0"/>
          <w:sz w:val="21"/>
          <w:szCs w:val="21"/>
          <w:highlight w:val="none"/>
          <w:u w:val="single"/>
        </w:rPr>
        <w:t xml:space="preserve">    </w:t>
      </w:r>
      <w:r>
        <w:rPr>
          <w:rFonts w:ascii="宋体" w:hAnsi="宋体"/>
          <w:color w:val="auto"/>
          <w:kern w:val="0"/>
          <w:sz w:val="21"/>
          <w:szCs w:val="21"/>
          <w:highlight w:val="none"/>
        </w:rPr>
        <w:t>日</w:t>
      </w:r>
    </w:p>
    <w:p>
      <w:pPr>
        <w:pStyle w:val="2"/>
        <w:rPr>
          <w:rFonts w:hint="eastAsia" w:eastAsia="宋体"/>
          <w:color w:val="auto"/>
          <w:sz w:val="21"/>
          <w:szCs w:val="21"/>
          <w:highlight w:val="none"/>
          <w:lang w:val="en-US" w:eastAsia="zh-CN"/>
        </w:rPr>
      </w:pPr>
    </w:p>
    <w:p>
      <w:pPr>
        <w:spacing w:line="360" w:lineRule="auto"/>
        <w:ind w:firstLine="420" w:firstLineChars="200"/>
        <w:rPr>
          <w:rFonts w:hint="eastAsia" w:asciiTheme="minorEastAsia" w:hAnsiTheme="minorEastAsia" w:eastAsiaTheme="minorEastAsia" w:cstheme="minorEastAsia"/>
          <w:snapToGrid w:val="0"/>
          <w:color w:val="auto"/>
          <w:kern w:val="0"/>
          <w:sz w:val="21"/>
          <w:szCs w:val="21"/>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spacing w:line="360" w:lineRule="auto"/>
        <w:jc w:val="center"/>
        <w:rPr>
          <w:rFonts w:hint="eastAsia" w:asciiTheme="minorEastAsia" w:hAnsiTheme="minorEastAsia" w:eastAsiaTheme="minorEastAsia" w:cstheme="minorEastAsia"/>
          <w:snapToGrid w:val="0"/>
          <w:color w:val="auto"/>
          <w:kern w:val="0"/>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2"/>
        <w:rPr>
          <w:rFonts w:hint="default" w:eastAsia="宋体"/>
          <w:color w:val="auto"/>
          <w:highlight w:val="none"/>
          <w:lang w:val="en-US" w:eastAsia="zh-CN"/>
        </w:rPr>
      </w:pPr>
      <w:r>
        <w:rPr>
          <w:rFonts w:hint="eastAsia"/>
          <w:color w:val="auto"/>
          <w:highlight w:val="none"/>
          <w:lang w:val="en-US" w:eastAsia="zh-CN"/>
        </w:rPr>
        <w:t>6、其他</w:t>
      </w:r>
    </w:p>
    <w:sectPr>
      <w:pgSz w:w="11907" w:h="16840"/>
      <w:pgMar w:top="1134" w:right="1247" w:bottom="1134" w:left="1418" w:header="851" w:footer="992" w:gutter="0"/>
      <w:pgBorders>
        <w:top w:val="none" w:sz="0" w:space="0"/>
        <w:left w:val="none" w:sz="0" w:space="0"/>
        <w:bottom w:val="none" w:sz="0" w:space="0"/>
        <w:right w:val="none" w:sz="0" w:space="0"/>
      </w:pgBorders>
      <w:cols w:space="720" w:num="1"/>
      <w:docGrid w:type="lines" w:linePitch="380" w:charSpace="-4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2</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AnapDC1gEAAKADAAAOAAAAAAAAAAEA&#10;IAAAACMBAABkcnMvZTJvRG9jLnhtbFBLBQYAAAAABgAGAFkBAABr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sz w:val="28"/>
      </w:rPr>
    </w:pPr>
    <w:r>
      <w:rPr>
        <w:rStyle w:val="25"/>
        <w:sz w:val="28"/>
      </w:rPr>
      <w:t>-</w:t>
    </w:r>
    <w:r>
      <w:rPr>
        <w:sz w:val="28"/>
      </w:rPr>
      <w:fldChar w:fldCharType="begin"/>
    </w:r>
    <w:r>
      <w:rPr>
        <w:rStyle w:val="25"/>
        <w:sz w:val="28"/>
      </w:rPr>
      <w:instrText xml:space="preserve">PAGE  </w:instrText>
    </w:r>
    <w:r>
      <w:rPr>
        <w:sz w:val="28"/>
      </w:rPr>
      <w:fldChar w:fldCharType="separate"/>
    </w:r>
    <w:r>
      <w:rPr>
        <w:rStyle w:val="25"/>
        <w:sz w:val="28"/>
      </w:rPr>
      <w:t>5</w:t>
    </w:r>
    <w:r>
      <w:rPr>
        <w:sz w:val="28"/>
      </w:rPr>
      <w:fldChar w:fldCharType="end"/>
    </w:r>
    <w:r>
      <w:rPr>
        <w:rStyle w:val="25"/>
        <w:sz w:val="28"/>
      </w:rPr>
      <w:t>-</w: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1691543"/>
    </w:sdtPr>
    <w:sdtContent>
      <w:p>
        <w:pPr>
          <w:pStyle w:val="16"/>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lang w:eastAsia="zh-CN"/>
      </w:rPr>
    </w:pPr>
    <w:r>
      <w:rPr>
        <w:rFonts w:hint="eastAsia"/>
        <w:sz w:val="21"/>
        <w:lang w:eastAsia="zh-CN"/>
      </w:rPr>
      <w:t>重庆国际投资咨询集团有限公司</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rFonts w:hint="eastAsia"/>
        <w:sz w:val="21"/>
        <w:lang w:eastAsia="zh-CN"/>
      </w:rPr>
      <w:t>询价文件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eastAsia="宋体"/>
        <w:sz w:val="21"/>
        <w:szCs w:val="21"/>
        <w:lang w:eastAsia="zh-CN"/>
      </w:rPr>
    </w:pPr>
    <w:r>
      <w:rPr>
        <w:rFonts w:hint="eastAsia"/>
        <w:sz w:val="21"/>
        <w:szCs w:val="21"/>
        <w:lang w:eastAsia="zh-CN"/>
      </w:rPr>
      <w:t>重庆国际投资咨询集团有限公司</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eastAsia="zh-CN"/>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167D8"/>
    <w:multiLevelType w:val="singleLevel"/>
    <w:tmpl w:val="FBD167D8"/>
    <w:lvl w:ilvl="0" w:tentative="0">
      <w:start w:val="2"/>
      <w:numFmt w:val="decimal"/>
      <w:suff w:val="nothing"/>
      <w:lvlText w:val="%1、"/>
      <w:lvlJc w:val="left"/>
    </w:lvl>
  </w:abstractNum>
  <w:abstractNum w:abstractNumId="1">
    <w:nsid w:val="3DC85C50"/>
    <w:multiLevelType w:val="singleLevel"/>
    <w:tmpl w:val="3DC85C50"/>
    <w:lvl w:ilvl="0" w:tentative="0">
      <w:start w:val="1"/>
      <w:numFmt w:val="decimal"/>
      <w:lvlText w:val="%1、"/>
      <w:lvlJc w:val="left"/>
      <w:pPr>
        <w:tabs>
          <w:tab w:val="left" w:pos="1173"/>
        </w:tabs>
        <w:ind w:left="1173"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2U3ZjQzNzRiNTMxNzQwZTJmY2ZlMTc5OWU5N2MifQ=="/>
  </w:docVars>
  <w:rsids>
    <w:rsidRoot w:val="00172A27"/>
    <w:rsid w:val="00003E2A"/>
    <w:rsid w:val="000054DC"/>
    <w:rsid w:val="00006B21"/>
    <w:rsid w:val="000246AD"/>
    <w:rsid w:val="00035C43"/>
    <w:rsid w:val="000417B5"/>
    <w:rsid w:val="00044D79"/>
    <w:rsid w:val="00062BF4"/>
    <w:rsid w:val="00064814"/>
    <w:rsid w:val="000860E6"/>
    <w:rsid w:val="000927AC"/>
    <w:rsid w:val="00093191"/>
    <w:rsid w:val="000B005A"/>
    <w:rsid w:val="000C0B1C"/>
    <w:rsid w:val="000C2E64"/>
    <w:rsid w:val="000C3794"/>
    <w:rsid w:val="000D58F9"/>
    <w:rsid w:val="000F0E57"/>
    <w:rsid w:val="000F0FC8"/>
    <w:rsid w:val="000F3AF1"/>
    <w:rsid w:val="0010236B"/>
    <w:rsid w:val="00106AE9"/>
    <w:rsid w:val="00111361"/>
    <w:rsid w:val="00113B64"/>
    <w:rsid w:val="0014425A"/>
    <w:rsid w:val="001546BF"/>
    <w:rsid w:val="00172A27"/>
    <w:rsid w:val="00173132"/>
    <w:rsid w:val="001733E4"/>
    <w:rsid w:val="00175D97"/>
    <w:rsid w:val="001879B8"/>
    <w:rsid w:val="001A3D99"/>
    <w:rsid w:val="001A6BDF"/>
    <w:rsid w:val="001C111B"/>
    <w:rsid w:val="001D2946"/>
    <w:rsid w:val="001D7AA2"/>
    <w:rsid w:val="00211EF0"/>
    <w:rsid w:val="00212080"/>
    <w:rsid w:val="00212CB9"/>
    <w:rsid w:val="00220296"/>
    <w:rsid w:val="002216C7"/>
    <w:rsid w:val="00223E70"/>
    <w:rsid w:val="0022581C"/>
    <w:rsid w:val="0022606D"/>
    <w:rsid w:val="002335CB"/>
    <w:rsid w:val="002358E8"/>
    <w:rsid w:val="00235AF6"/>
    <w:rsid w:val="002374A2"/>
    <w:rsid w:val="002472EE"/>
    <w:rsid w:val="00250D1D"/>
    <w:rsid w:val="00262C77"/>
    <w:rsid w:val="00263CF8"/>
    <w:rsid w:val="00266BD7"/>
    <w:rsid w:val="00270320"/>
    <w:rsid w:val="00290910"/>
    <w:rsid w:val="002A4AFF"/>
    <w:rsid w:val="002C25F7"/>
    <w:rsid w:val="002C58F4"/>
    <w:rsid w:val="002E2C89"/>
    <w:rsid w:val="002F2545"/>
    <w:rsid w:val="002F33A3"/>
    <w:rsid w:val="00305DD6"/>
    <w:rsid w:val="003067BD"/>
    <w:rsid w:val="00307B06"/>
    <w:rsid w:val="003304DB"/>
    <w:rsid w:val="00344B12"/>
    <w:rsid w:val="00346693"/>
    <w:rsid w:val="00346717"/>
    <w:rsid w:val="0034767F"/>
    <w:rsid w:val="003532F5"/>
    <w:rsid w:val="00355B26"/>
    <w:rsid w:val="003656B4"/>
    <w:rsid w:val="00365D1E"/>
    <w:rsid w:val="00367CD7"/>
    <w:rsid w:val="003727EB"/>
    <w:rsid w:val="00385391"/>
    <w:rsid w:val="00394CA9"/>
    <w:rsid w:val="0039539F"/>
    <w:rsid w:val="003A074D"/>
    <w:rsid w:val="003A63F2"/>
    <w:rsid w:val="003B145A"/>
    <w:rsid w:val="003C2E88"/>
    <w:rsid w:val="003D23FE"/>
    <w:rsid w:val="003E662A"/>
    <w:rsid w:val="0040324F"/>
    <w:rsid w:val="0040390D"/>
    <w:rsid w:val="004052F4"/>
    <w:rsid w:val="0041128D"/>
    <w:rsid w:val="004224F8"/>
    <w:rsid w:val="00427A8D"/>
    <w:rsid w:val="00441C3F"/>
    <w:rsid w:val="00450EA0"/>
    <w:rsid w:val="00451159"/>
    <w:rsid w:val="0046524C"/>
    <w:rsid w:val="004701D7"/>
    <w:rsid w:val="004718FF"/>
    <w:rsid w:val="004823CD"/>
    <w:rsid w:val="00487AD6"/>
    <w:rsid w:val="004924F3"/>
    <w:rsid w:val="004D03C1"/>
    <w:rsid w:val="004D090C"/>
    <w:rsid w:val="004E5874"/>
    <w:rsid w:val="00507186"/>
    <w:rsid w:val="005159DE"/>
    <w:rsid w:val="00515C31"/>
    <w:rsid w:val="005213A6"/>
    <w:rsid w:val="00522279"/>
    <w:rsid w:val="00523290"/>
    <w:rsid w:val="00524DCF"/>
    <w:rsid w:val="00544905"/>
    <w:rsid w:val="00552D6F"/>
    <w:rsid w:val="005609A4"/>
    <w:rsid w:val="00566913"/>
    <w:rsid w:val="00575A5B"/>
    <w:rsid w:val="0059025D"/>
    <w:rsid w:val="005961F1"/>
    <w:rsid w:val="005A7D8F"/>
    <w:rsid w:val="005C1D6A"/>
    <w:rsid w:val="005C37E1"/>
    <w:rsid w:val="005D5B6E"/>
    <w:rsid w:val="005D70CD"/>
    <w:rsid w:val="005E4036"/>
    <w:rsid w:val="00612BD3"/>
    <w:rsid w:val="0062404F"/>
    <w:rsid w:val="00624D9D"/>
    <w:rsid w:val="00625700"/>
    <w:rsid w:val="006321E4"/>
    <w:rsid w:val="00632713"/>
    <w:rsid w:val="006501DB"/>
    <w:rsid w:val="00662908"/>
    <w:rsid w:val="006711FE"/>
    <w:rsid w:val="00696FA1"/>
    <w:rsid w:val="006A088B"/>
    <w:rsid w:val="006B4E60"/>
    <w:rsid w:val="006D2874"/>
    <w:rsid w:val="006D2896"/>
    <w:rsid w:val="006E1BAB"/>
    <w:rsid w:val="006E7277"/>
    <w:rsid w:val="00705754"/>
    <w:rsid w:val="007079F5"/>
    <w:rsid w:val="00711675"/>
    <w:rsid w:val="007131DD"/>
    <w:rsid w:val="00714426"/>
    <w:rsid w:val="00723183"/>
    <w:rsid w:val="00723D26"/>
    <w:rsid w:val="0073008D"/>
    <w:rsid w:val="00744584"/>
    <w:rsid w:val="007551B8"/>
    <w:rsid w:val="00757D0E"/>
    <w:rsid w:val="0076186A"/>
    <w:rsid w:val="0076210E"/>
    <w:rsid w:val="00764E96"/>
    <w:rsid w:val="007650B7"/>
    <w:rsid w:val="0076620C"/>
    <w:rsid w:val="00784634"/>
    <w:rsid w:val="007969DD"/>
    <w:rsid w:val="007A1567"/>
    <w:rsid w:val="007B0C5E"/>
    <w:rsid w:val="007B282D"/>
    <w:rsid w:val="007B2EAD"/>
    <w:rsid w:val="007B3A22"/>
    <w:rsid w:val="007B4D24"/>
    <w:rsid w:val="007C4D82"/>
    <w:rsid w:val="007C69F7"/>
    <w:rsid w:val="007D0B3A"/>
    <w:rsid w:val="007D28E4"/>
    <w:rsid w:val="007D7DC1"/>
    <w:rsid w:val="007E3BCA"/>
    <w:rsid w:val="007F2FA3"/>
    <w:rsid w:val="00813233"/>
    <w:rsid w:val="0081711B"/>
    <w:rsid w:val="00822C69"/>
    <w:rsid w:val="00823A22"/>
    <w:rsid w:val="008240FF"/>
    <w:rsid w:val="008250B4"/>
    <w:rsid w:val="008321DA"/>
    <w:rsid w:val="008340CA"/>
    <w:rsid w:val="00837C87"/>
    <w:rsid w:val="008415C8"/>
    <w:rsid w:val="00845025"/>
    <w:rsid w:val="0086724A"/>
    <w:rsid w:val="008777DC"/>
    <w:rsid w:val="008972D3"/>
    <w:rsid w:val="008D1071"/>
    <w:rsid w:val="008E0461"/>
    <w:rsid w:val="008E64EF"/>
    <w:rsid w:val="008F01A0"/>
    <w:rsid w:val="008F1CDE"/>
    <w:rsid w:val="00902FAC"/>
    <w:rsid w:val="009205FB"/>
    <w:rsid w:val="00921C81"/>
    <w:rsid w:val="00930564"/>
    <w:rsid w:val="00931A9A"/>
    <w:rsid w:val="00951D2A"/>
    <w:rsid w:val="009571ED"/>
    <w:rsid w:val="0095737E"/>
    <w:rsid w:val="00957DB9"/>
    <w:rsid w:val="00972D1C"/>
    <w:rsid w:val="00973E25"/>
    <w:rsid w:val="00991733"/>
    <w:rsid w:val="00993603"/>
    <w:rsid w:val="009B5B2F"/>
    <w:rsid w:val="009C69CA"/>
    <w:rsid w:val="009D47A5"/>
    <w:rsid w:val="009E0F29"/>
    <w:rsid w:val="009E39AF"/>
    <w:rsid w:val="009F3510"/>
    <w:rsid w:val="009F5669"/>
    <w:rsid w:val="00A15482"/>
    <w:rsid w:val="00A26640"/>
    <w:rsid w:val="00A34430"/>
    <w:rsid w:val="00A3461A"/>
    <w:rsid w:val="00A4185F"/>
    <w:rsid w:val="00A469A1"/>
    <w:rsid w:val="00A66C18"/>
    <w:rsid w:val="00A84D95"/>
    <w:rsid w:val="00AA0F10"/>
    <w:rsid w:val="00AA5996"/>
    <w:rsid w:val="00AA76FC"/>
    <w:rsid w:val="00AB0AA6"/>
    <w:rsid w:val="00AB6BD6"/>
    <w:rsid w:val="00AB7746"/>
    <w:rsid w:val="00AC105F"/>
    <w:rsid w:val="00AC531F"/>
    <w:rsid w:val="00AC61B6"/>
    <w:rsid w:val="00AC644E"/>
    <w:rsid w:val="00AD08F2"/>
    <w:rsid w:val="00AE22A3"/>
    <w:rsid w:val="00AE5715"/>
    <w:rsid w:val="00AF00A5"/>
    <w:rsid w:val="00AF412B"/>
    <w:rsid w:val="00B10A50"/>
    <w:rsid w:val="00B140EF"/>
    <w:rsid w:val="00B462AD"/>
    <w:rsid w:val="00B468A9"/>
    <w:rsid w:val="00B5355D"/>
    <w:rsid w:val="00B53FDE"/>
    <w:rsid w:val="00B54F96"/>
    <w:rsid w:val="00B83892"/>
    <w:rsid w:val="00B959E0"/>
    <w:rsid w:val="00BA5668"/>
    <w:rsid w:val="00BB4DE0"/>
    <w:rsid w:val="00BC731A"/>
    <w:rsid w:val="00BD12FB"/>
    <w:rsid w:val="00BD16A6"/>
    <w:rsid w:val="00BE64F4"/>
    <w:rsid w:val="00C06C73"/>
    <w:rsid w:val="00C13C47"/>
    <w:rsid w:val="00C276AA"/>
    <w:rsid w:val="00C329B1"/>
    <w:rsid w:val="00C44A8E"/>
    <w:rsid w:val="00C45AF2"/>
    <w:rsid w:val="00C544BD"/>
    <w:rsid w:val="00C555AF"/>
    <w:rsid w:val="00C72BCB"/>
    <w:rsid w:val="00C82808"/>
    <w:rsid w:val="00C8395C"/>
    <w:rsid w:val="00C843C2"/>
    <w:rsid w:val="00C84838"/>
    <w:rsid w:val="00C851F3"/>
    <w:rsid w:val="00C96059"/>
    <w:rsid w:val="00C96B8A"/>
    <w:rsid w:val="00CA3995"/>
    <w:rsid w:val="00CB3040"/>
    <w:rsid w:val="00CB392A"/>
    <w:rsid w:val="00CD047E"/>
    <w:rsid w:val="00CD1F67"/>
    <w:rsid w:val="00CD4A6E"/>
    <w:rsid w:val="00CD593A"/>
    <w:rsid w:val="00CE1239"/>
    <w:rsid w:val="00CE7AD6"/>
    <w:rsid w:val="00D1194E"/>
    <w:rsid w:val="00D2294B"/>
    <w:rsid w:val="00D40616"/>
    <w:rsid w:val="00D40BB4"/>
    <w:rsid w:val="00D44867"/>
    <w:rsid w:val="00D54BE8"/>
    <w:rsid w:val="00D6127D"/>
    <w:rsid w:val="00D66997"/>
    <w:rsid w:val="00D73DC7"/>
    <w:rsid w:val="00D73DD2"/>
    <w:rsid w:val="00D95EF3"/>
    <w:rsid w:val="00D95F1C"/>
    <w:rsid w:val="00DA43B7"/>
    <w:rsid w:val="00DB3C8F"/>
    <w:rsid w:val="00DB51A2"/>
    <w:rsid w:val="00DB6971"/>
    <w:rsid w:val="00DB702E"/>
    <w:rsid w:val="00DC2676"/>
    <w:rsid w:val="00DD5211"/>
    <w:rsid w:val="00DD5961"/>
    <w:rsid w:val="00DE070D"/>
    <w:rsid w:val="00DE0BA0"/>
    <w:rsid w:val="00DE1AC2"/>
    <w:rsid w:val="00E07ACB"/>
    <w:rsid w:val="00E15F8B"/>
    <w:rsid w:val="00E20C71"/>
    <w:rsid w:val="00E25C33"/>
    <w:rsid w:val="00E421E3"/>
    <w:rsid w:val="00E6185B"/>
    <w:rsid w:val="00E6589F"/>
    <w:rsid w:val="00E71BC3"/>
    <w:rsid w:val="00E74047"/>
    <w:rsid w:val="00E8102F"/>
    <w:rsid w:val="00E814FD"/>
    <w:rsid w:val="00EB51AB"/>
    <w:rsid w:val="00EC113C"/>
    <w:rsid w:val="00EC1CC2"/>
    <w:rsid w:val="00EC4199"/>
    <w:rsid w:val="00EC54E6"/>
    <w:rsid w:val="00ED1DB1"/>
    <w:rsid w:val="00ED595A"/>
    <w:rsid w:val="00EE6229"/>
    <w:rsid w:val="00EF3778"/>
    <w:rsid w:val="00EF718B"/>
    <w:rsid w:val="00F30BF6"/>
    <w:rsid w:val="00F31C0F"/>
    <w:rsid w:val="00F44489"/>
    <w:rsid w:val="00F4564E"/>
    <w:rsid w:val="00F5064A"/>
    <w:rsid w:val="00F53B49"/>
    <w:rsid w:val="00F60A1B"/>
    <w:rsid w:val="00F706B2"/>
    <w:rsid w:val="00F90532"/>
    <w:rsid w:val="00F97246"/>
    <w:rsid w:val="00FA3FBC"/>
    <w:rsid w:val="00FB0ED8"/>
    <w:rsid w:val="00FB7BBA"/>
    <w:rsid w:val="00FC1CDD"/>
    <w:rsid w:val="00FC746A"/>
    <w:rsid w:val="00FE1020"/>
    <w:rsid w:val="00FE4690"/>
    <w:rsid w:val="00FE71E0"/>
    <w:rsid w:val="00FF2E57"/>
    <w:rsid w:val="00FF4CF8"/>
    <w:rsid w:val="00FF55AE"/>
    <w:rsid w:val="00FF65B0"/>
    <w:rsid w:val="00FF74B7"/>
    <w:rsid w:val="01CA60CC"/>
    <w:rsid w:val="02A06B27"/>
    <w:rsid w:val="04D228E6"/>
    <w:rsid w:val="07B54A9A"/>
    <w:rsid w:val="098A76F5"/>
    <w:rsid w:val="0DE458B0"/>
    <w:rsid w:val="11B21052"/>
    <w:rsid w:val="12E26445"/>
    <w:rsid w:val="17394C73"/>
    <w:rsid w:val="17706C27"/>
    <w:rsid w:val="1B9B6083"/>
    <w:rsid w:val="1C38137B"/>
    <w:rsid w:val="1C802F60"/>
    <w:rsid w:val="2174706C"/>
    <w:rsid w:val="22284403"/>
    <w:rsid w:val="2B927097"/>
    <w:rsid w:val="2C7A7C46"/>
    <w:rsid w:val="2EF63751"/>
    <w:rsid w:val="34BF7C02"/>
    <w:rsid w:val="36417287"/>
    <w:rsid w:val="367F119D"/>
    <w:rsid w:val="379B47FB"/>
    <w:rsid w:val="3B9143A7"/>
    <w:rsid w:val="3BF54B8C"/>
    <w:rsid w:val="3C70064D"/>
    <w:rsid w:val="3D711112"/>
    <w:rsid w:val="3E493817"/>
    <w:rsid w:val="42051C89"/>
    <w:rsid w:val="43993208"/>
    <w:rsid w:val="453A7ED8"/>
    <w:rsid w:val="472A0EFF"/>
    <w:rsid w:val="483B2049"/>
    <w:rsid w:val="4E0E06B0"/>
    <w:rsid w:val="50DD1CD4"/>
    <w:rsid w:val="514F0D67"/>
    <w:rsid w:val="51D6131C"/>
    <w:rsid w:val="52225D64"/>
    <w:rsid w:val="524725BD"/>
    <w:rsid w:val="54773DC3"/>
    <w:rsid w:val="57836388"/>
    <w:rsid w:val="57FD21DA"/>
    <w:rsid w:val="5CBA694F"/>
    <w:rsid w:val="5D1B79BF"/>
    <w:rsid w:val="5E5F156D"/>
    <w:rsid w:val="5E757791"/>
    <w:rsid w:val="5E8521D7"/>
    <w:rsid w:val="61F50A3E"/>
    <w:rsid w:val="65187DF7"/>
    <w:rsid w:val="656D7AB5"/>
    <w:rsid w:val="65B14371"/>
    <w:rsid w:val="6C2C446C"/>
    <w:rsid w:val="6CFB70CF"/>
    <w:rsid w:val="6E7E016A"/>
    <w:rsid w:val="70411D97"/>
    <w:rsid w:val="71465B50"/>
    <w:rsid w:val="779B01F6"/>
    <w:rsid w:val="77F225BB"/>
    <w:rsid w:val="7804750D"/>
    <w:rsid w:val="78072D66"/>
    <w:rsid w:val="78140A33"/>
    <w:rsid w:val="7A684D10"/>
    <w:rsid w:val="7AD6247E"/>
    <w:rsid w:val="7C8106C4"/>
    <w:rsid w:val="7D345C56"/>
    <w:rsid w:val="7FD1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snapToGrid w:val="0"/>
      <w:spacing w:line="360" w:lineRule="atLeast"/>
      <w:outlineLvl w:val="0"/>
    </w:pPr>
    <w:rPr>
      <w:rFonts w:ascii="宋体" w:hAnsi="Times New Roman" w:eastAsia="宋体" w:cs="Times New Roman"/>
      <w:sz w:val="28"/>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6"/>
    <w:basedOn w:val="1"/>
    <w:next w:val="1"/>
    <w:link w:val="38"/>
    <w:unhideWhenUsed/>
    <w:qFormat/>
    <w:uiPriority w:val="0"/>
    <w:pPr>
      <w:keepNext/>
      <w:keepLines/>
      <w:spacing w:before="240" w:after="64" w:line="320" w:lineRule="auto"/>
      <w:outlineLvl w:val="5"/>
    </w:pPr>
    <w:rPr>
      <w:rFonts w:ascii="Cambria" w:hAnsi="Cambria"/>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0"/>
    <w:pPr>
      <w:spacing w:after="120"/>
    </w:pPr>
  </w:style>
  <w:style w:type="paragraph" w:styleId="7">
    <w:name w:val="List 3"/>
    <w:basedOn w:val="1"/>
    <w:qFormat/>
    <w:uiPriority w:val="0"/>
    <w:pPr>
      <w:ind w:left="600" w:leftChars="400" w:hanging="200" w:hangingChars="200"/>
    </w:pPr>
    <w:rPr>
      <w:szCs w:val="20"/>
    </w:rPr>
  </w:style>
  <w:style w:type="paragraph" w:styleId="8">
    <w:name w:val="Normal Indent"/>
    <w:basedOn w:val="1"/>
    <w:link w:val="37"/>
    <w:qFormat/>
    <w:uiPriority w:val="99"/>
    <w:pPr>
      <w:adjustRightInd w:val="0"/>
      <w:snapToGrid w:val="0"/>
      <w:spacing w:line="360" w:lineRule="auto"/>
      <w:ind w:firstLine="420"/>
    </w:pPr>
    <w:rPr>
      <w:sz w:val="24"/>
    </w:rPr>
  </w:style>
  <w:style w:type="paragraph" w:styleId="9">
    <w:name w:val="Document Map"/>
    <w:basedOn w:val="1"/>
    <w:qFormat/>
    <w:uiPriority w:val="0"/>
    <w:rPr>
      <w:rFonts w:ascii="宋体"/>
      <w:sz w:val="18"/>
      <w:szCs w:val="18"/>
    </w:rPr>
  </w:style>
  <w:style w:type="paragraph" w:styleId="10">
    <w:name w:val="annotation text"/>
    <w:basedOn w:val="1"/>
    <w:link w:val="33"/>
    <w:qFormat/>
    <w:uiPriority w:val="0"/>
    <w:pPr>
      <w:widowControl w:val="0"/>
    </w:pPr>
    <w:rPr>
      <w:rFonts w:ascii="Times New Roman" w:hAnsi="Times New Roman" w:eastAsia="宋体" w:cs="Times New Roman"/>
      <w:kern w:val="2"/>
      <w:sz w:val="21"/>
      <w:lang w:val="en-US" w:eastAsia="zh-CN" w:bidi="ar-SA"/>
    </w:rPr>
  </w:style>
  <w:style w:type="paragraph" w:styleId="11">
    <w:name w:val="Body Text Indent"/>
    <w:basedOn w:val="1"/>
    <w:link w:val="35"/>
    <w:qFormat/>
    <w:uiPriority w:val="0"/>
    <w:pPr>
      <w:spacing w:line="700" w:lineRule="exact"/>
      <w:ind w:left="960"/>
    </w:pPr>
    <w:rPr>
      <w:sz w:val="44"/>
    </w:rPr>
  </w:style>
  <w:style w:type="paragraph" w:styleId="12">
    <w:name w:val="toc 3"/>
    <w:basedOn w:val="1"/>
    <w:next w:val="1"/>
    <w:qFormat/>
    <w:uiPriority w:val="39"/>
    <w:pPr>
      <w:tabs>
        <w:tab w:val="right" w:leader="dot" w:pos="8303"/>
      </w:tabs>
      <w:spacing w:line="480" w:lineRule="exact"/>
      <w:ind w:left="400" w:leftChars="400"/>
    </w:pPr>
    <w:rPr>
      <w:sz w:val="30"/>
    </w:rPr>
  </w:style>
  <w:style w:type="paragraph" w:styleId="13">
    <w:name w:val="Date"/>
    <w:basedOn w:val="1"/>
    <w:next w:val="1"/>
    <w:qFormat/>
    <w:uiPriority w:val="0"/>
  </w:style>
  <w:style w:type="paragraph" w:styleId="14">
    <w:name w:val="Body Text Indent 2"/>
    <w:basedOn w:val="1"/>
    <w:link w:val="31"/>
    <w:qFormat/>
    <w:uiPriority w:val="0"/>
    <w:pPr>
      <w:snapToGrid w:val="0"/>
      <w:spacing w:line="560" w:lineRule="atLeast"/>
      <w:ind w:firstLine="540"/>
    </w:pPr>
    <w:rPr>
      <w:sz w:val="28"/>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sz w:val="18"/>
    </w:rPr>
  </w:style>
  <w:style w:type="paragraph" w:styleId="18">
    <w:name w:val="toc 1"/>
    <w:basedOn w:val="1"/>
    <w:next w:val="1"/>
    <w:qFormat/>
    <w:uiPriority w:val="39"/>
  </w:style>
  <w:style w:type="paragraph" w:styleId="19">
    <w:name w:val="List"/>
    <w:basedOn w:val="1"/>
    <w:unhideWhenUsed/>
    <w:qFormat/>
    <w:uiPriority w:val="0"/>
    <w:pPr>
      <w:spacing w:line="360" w:lineRule="auto"/>
      <w:ind w:left="200" w:hanging="200" w:hangingChars="200"/>
    </w:pPr>
    <w:rPr>
      <w:rFonts w:ascii="宋体" w:hAnsi="宋体"/>
      <w:sz w:val="24"/>
      <w:szCs w:val="24"/>
    </w:rPr>
  </w:style>
  <w:style w:type="paragraph" w:styleId="20">
    <w:name w:val="toc 2"/>
    <w:basedOn w:val="1"/>
    <w:next w:val="1"/>
    <w:qFormat/>
    <w:uiPriority w:val="39"/>
    <w:pPr>
      <w:ind w:left="200" w:leftChars="200"/>
    </w:pPr>
  </w:style>
  <w:style w:type="paragraph" w:styleId="21">
    <w:name w:val="annotation subject"/>
    <w:basedOn w:val="10"/>
    <w:next w:val="10"/>
    <w:qFormat/>
    <w:uiPriority w:val="0"/>
    <w:rPr>
      <w:b/>
      <w:bCs/>
    </w:rPr>
  </w:style>
  <w:style w:type="table" w:styleId="23">
    <w:name w:val="Table Grid"/>
    <w:basedOn w:val="2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333333"/>
      <w:u w:val="non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paragraph" w:customStyle="1" w:styleId="29">
    <w:name w:val="样式 正文缩进 + 首行缩进:  2.56 字符 段前: 0.6 行 段后: 0.6 行"/>
    <w:basedOn w:val="8"/>
    <w:qFormat/>
    <w:uiPriority w:val="0"/>
    <w:pPr>
      <w:adjustRightInd w:val="0"/>
      <w:spacing w:beforeLines="60" w:afterLines="60" w:line="300" w:lineRule="auto"/>
      <w:ind w:firstLine="0" w:firstLineChars="0"/>
      <w:textAlignment w:val="baseline"/>
    </w:pPr>
    <w:rPr>
      <w:rFonts w:ascii="微软简仿宋" w:hAnsi="宋体" w:eastAsia="楷体_GB2312" w:cs="宋体"/>
      <w:snapToGrid w:val="0"/>
      <w:sz w:val="20"/>
      <w:szCs w:val="20"/>
      <w:lang w:val="zh-CN"/>
    </w:rPr>
  </w:style>
  <w:style w:type="character" w:customStyle="1" w:styleId="30">
    <w:name w:val="正文文本缩进 2 Char"/>
    <w:qFormat/>
    <w:uiPriority w:val="0"/>
    <w:rPr>
      <w:kern w:val="2"/>
      <w:sz w:val="28"/>
    </w:rPr>
  </w:style>
  <w:style w:type="character" w:customStyle="1" w:styleId="31">
    <w:name w:val="正文文本缩进 2 Char1"/>
    <w:basedOn w:val="24"/>
    <w:link w:val="14"/>
    <w:qFormat/>
    <w:uiPriority w:val="0"/>
    <w:rPr>
      <w:kern w:val="2"/>
      <w:sz w:val="21"/>
    </w:rPr>
  </w:style>
  <w:style w:type="character" w:customStyle="1" w:styleId="32">
    <w:name w:val="apple-style-span"/>
    <w:basedOn w:val="24"/>
    <w:qFormat/>
    <w:uiPriority w:val="0"/>
  </w:style>
  <w:style w:type="character" w:customStyle="1" w:styleId="33">
    <w:name w:val="批注文字 Char"/>
    <w:link w:val="10"/>
    <w:qFormat/>
    <w:uiPriority w:val="0"/>
    <w:rPr>
      <w:kern w:val="2"/>
      <w:sz w:val="21"/>
      <w:lang w:val="en-US" w:eastAsia="zh-CN" w:bidi="ar-SA"/>
    </w:rPr>
  </w:style>
  <w:style w:type="paragraph" w:customStyle="1" w:styleId="34">
    <w:name w:val="修订1"/>
    <w:qFormat/>
    <w:uiPriority w:val="0"/>
    <w:rPr>
      <w:rFonts w:ascii="Times New Roman" w:hAnsi="Times New Roman" w:eastAsia="宋体" w:cs="Times New Roman"/>
      <w:kern w:val="2"/>
      <w:sz w:val="21"/>
      <w:lang w:val="en-US" w:eastAsia="zh-CN" w:bidi="ar-SA"/>
    </w:rPr>
  </w:style>
  <w:style w:type="character" w:customStyle="1" w:styleId="35">
    <w:name w:val="正文文本缩进 Char"/>
    <w:basedOn w:val="24"/>
    <w:link w:val="11"/>
    <w:qFormat/>
    <w:uiPriority w:val="0"/>
    <w:rPr>
      <w:kern w:val="2"/>
      <w:sz w:val="44"/>
    </w:rPr>
  </w:style>
  <w:style w:type="character" w:customStyle="1" w:styleId="36">
    <w:name w:val="正文文本缩进 Char1"/>
    <w:basedOn w:val="24"/>
    <w:qFormat/>
    <w:uiPriority w:val="0"/>
    <w:rPr>
      <w:kern w:val="2"/>
      <w:sz w:val="21"/>
    </w:rPr>
  </w:style>
  <w:style w:type="character" w:customStyle="1" w:styleId="37">
    <w:name w:val="正文缩进 Char"/>
    <w:link w:val="8"/>
    <w:qFormat/>
    <w:uiPriority w:val="0"/>
    <w:rPr>
      <w:kern w:val="2"/>
      <w:sz w:val="24"/>
    </w:rPr>
  </w:style>
  <w:style w:type="character" w:customStyle="1" w:styleId="38">
    <w:name w:val="标题 6 Char"/>
    <w:basedOn w:val="24"/>
    <w:link w:val="6"/>
    <w:semiHidden/>
    <w:qFormat/>
    <w:uiPriority w:val="0"/>
    <w:rPr>
      <w:rFonts w:ascii="Cambria" w:hAnsi="Cambria" w:eastAsia="宋体" w:cs="Times New Roman"/>
      <w:b/>
      <w:bCs/>
      <w:kern w:val="2"/>
      <w:sz w:val="24"/>
      <w:szCs w:val="24"/>
    </w:rPr>
  </w:style>
  <w:style w:type="paragraph" w:customStyle="1" w:styleId="39">
    <w:name w:val="TOC 标题1"/>
    <w:basedOn w:val="3"/>
    <w:next w:val="1"/>
    <w:unhideWhenUsed/>
    <w:qFormat/>
    <w:uiPriority w:val="39"/>
    <w:pPr>
      <w:keepLines/>
      <w:snapToGrid/>
      <w:spacing w:before="480" w:line="276" w:lineRule="auto"/>
      <w:outlineLvl w:val="9"/>
    </w:pPr>
    <w:rPr>
      <w:rFonts w:ascii="Cambria" w:hAnsi="Cambria"/>
      <w:b/>
      <w:bCs/>
      <w:color w:val="365F91"/>
      <w:szCs w:val="28"/>
    </w:rPr>
  </w:style>
  <w:style w:type="paragraph" w:customStyle="1" w:styleId="40">
    <w:name w:val="表格"/>
    <w:basedOn w:val="1"/>
    <w:next w:val="2"/>
    <w:qFormat/>
    <w:uiPriority w:val="1"/>
    <w:pPr>
      <w:wordWrap w:val="0"/>
      <w:overflowPunct w:val="0"/>
    </w:pPr>
    <w:rPr>
      <w:rFonts w:ascii="宋体" w:hAnsi="宋体"/>
      <w:sz w:val="24"/>
      <w:szCs w:val="24"/>
    </w:rPr>
  </w:style>
  <w:style w:type="character" w:customStyle="1" w:styleId="41">
    <w:name w:val="正文文本 Char"/>
    <w:basedOn w:val="24"/>
    <w:link w:val="2"/>
    <w:qFormat/>
    <w:uiPriority w:val="0"/>
    <w:rPr>
      <w:kern w:val="2"/>
      <w:sz w:val="21"/>
    </w:rPr>
  </w:style>
  <w:style w:type="paragraph" w:styleId="42">
    <w:name w:val="List Paragraph"/>
    <w:basedOn w:val="1"/>
    <w:qFormat/>
    <w:uiPriority w:val="34"/>
    <w:pPr>
      <w:ind w:firstLine="420" w:firstLineChars="200"/>
    </w:pPr>
    <w:rPr>
      <w:szCs w:val="24"/>
    </w:rPr>
  </w:style>
  <w:style w:type="paragraph" w:customStyle="1" w:styleId="43">
    <w:name w:val="Table Paragraph"/>
    <w:basedOn w:val="1"/>
    <w:qFormat/>
    <w:uiPriority w:val="0"/>
    <w:pPr>
      <w:jc w:val="left"/>
    </w:pPr>
    <w:rPr>
      <w:rFonts w:ascii="Calibri" w:hAnsi="Calibri"/>
      <w:kern w:val="0"/>
      <w:sz w:val="22"/>
      <w:szCs w:val="22"/>
      <w:lang w:eastAsia="en-US"/>
    </w:rPr>
  </w:style>
  <w:style w:type="paragraph" w:customStyle="1" w:styleId="44">
    <w:name w:val="样式1"/>
    <w:basedOn w:val="1"/>
    <w:next w:val="1"/>
    <w:qFormat/>
    <w:uiPriority w:val="0"/>
    <w:pPr>
      <w:spacing w:line="300" w:lineRule="auto"/>
    </w:pPr>
    <w:rPr>
      <w:rFonts w:ascii="宋体" w:hAnsi="宋体"/>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C7302-463D-4F86-8860-9CE31EAA48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2727</Words>
  <Characters>15547</Characters>
  <Lines>129</Lines>
  <Paragraphs>36</Paragraphs>
  <TotalTime>5</TotalTime>
  <ScaleCrop>false</ScaleCrop>
  <LinksUpToDate>false</LinksUpToDate>
  <CharactersWithSpaces>18238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2020-06-04T09:17:00Z</dcterms:created>
  <dc:creator>何源</dc:creator>
  <cp:lastModifiedBy>罗华梅</cp:lastModifiedBy>
  <cp:lastPrinted>2019-06-13T09:11:00Z</cp:lastPrinted>
  <dcterms:modified xsi:type="dcterms:W3CDTF">2024-01-04T01:39:44Z</dcterms:modified>
  <dc:title>重庆市江津区食品药品安全综合治理体系规划编制服务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DE49E0FBA9154A9BB987E02DF956879A_13</vt:lpwstr>
  </property>
</Properties>
</file>